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13704" w14:textId="77777777" w:rsidR="007746C3" w:rsidRDefault="007746C3" w:rsidP="007746C3">
      <w:pPr>
        <w:spacing w:after="0" w:line="240" w:lineRule="auto"/>
        <w:ind w:left="1440" w:firstLine="720"/>
        <w:jc w:val="both"/>
        <w:rPr>
          <w:rFonts w:asciiTheme="minorBidi" w:hAnsiTheme="minorBidi"/>
        </w:rPr>
      </w:pPr>
      <w:r w:rsidRPr="007746C3">
        <w:rPr>
          <w:rFonts w:asciiTheme="minorBidi" w:hAnsiTheme="minorBidi"/>
          <w:noProof/>
          <w:color w:val="000000" w:themeColor="text1"/>
        </w:rPr>
        <mc:AlternateContent>
          <mc:Choice Requires="wps">
            <w:drawing>
              <wp:anchor distT="0" distB="0" distL="114300" distR="114300" simplePos="0" relativeHeight="251659264" behindDoc="0" locked="0" layoutInCell="1" allowOverlap="1" wp14:anchorId="0EC87FAE" wp14:editId="3CD6E6EA">
                <wp:simplePos x="0" y="0"/>
                <wp:positionH relativeFrom="column">
                  <wp:posOffset>36195</wp:posOffset>
                </wp:positionH>
                <wp:positionV relativeFrom="paragraph">
                  <wp:posOffset>-54737</wp:posOffset>
                </wp:positionV>
                <wp:extent cx="1236345" cy="307239"/>
                <wp:effectExtent l="0" t="0" r="8255" b="10795"/>
                <wp:wrapNone/>
                <wp:docPr id="2040169221" name="Text Box 2040169221"/>
                <wp:cNvGraphicFramePr/>
                <a:graphic xmlns:a="http://schemas.openxmlformats.org/drawingml/2006/main">
                  <a:graphicData uri="http://schemas.microsoft.com/office/word/2010/wordprocessingShape">
                    <wps:wsp>
                      <wps:cNvSpPr txBox="1"/>
                      <wps:spPr>
                        <a:xfrm>
                          <a:off x="0" y="0"/>
                          <a:ext cx="1236345" cy="307239"/>
                        </a:xfrm>
                        <a:prstGeom prst="rect">
                          <a:avLst/>
                        </a:prstGeom>
                        <a:solidFill>
                          <a:schemeClr val="lt1"/>
                        </a:solidFill>
                        <a:ln w="6350">
                          <a:solidFill>
                            <a:prstClr val="black"/>
                          </a:solidFill>
                        </a:ln>
                      </wps:spPr>
                      <wps:txbx>
                        <w:txbxContent>
                          <w:p w14:paraId="18BC74C2" w14:textId="77777777" w:rsidR="007746C3" w:rsidRPr="00C7401F" w:rsidRDefault="007746C3" w:rsidP="007746C3">
                            <w:pPr>
                              <w:rPr>
                                <w:b/>
                                <w:bCs/>
                                <w:color w:val="C00000"/>
                              </w:rPr>
                            </w:pPr>
                            <w:r w:rsidRPr="00C7401F">
                              <w:rPr>
                                <w:b/>
                                <w:bCs/>
                                <w:color w:val="C00000"/>
                              </w:rPr>
                              <w:t>Original Article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C87FAE" id="_x0000_t202" coordsize="21600,21600" o:spt="202" path="m,l,21600r21600,l21600,xe">
                <v:stroke joinstyle="miter"/>
                <v:path gradientshapeok="t" o:connecttype="rect"/>
              </v:shapetype>
              <v:shape id="Text Box 2040169221" o:spid="_x0000_s1026" type="#_x0000_t202" style="position:absolute;left:0;text-align:left;margin-left:2.85pt;margin-top:-4.3pt;width:97.35pt;height:2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" fillcolor="white [3201]" strokeweight=".5pt">
                <v:textbox>
                  <w:txbxContent>
                    <w:p w14:paraId="18BC74C2" w14:textId="77777777" w:rsidR="007746C3" w:rsidRPr="00C7401F" w:rsidRDefault="007746C3" w:rsidP="007746C3">
                      <w:pPr>
                        <w:rPr>
                          <w:b/>
                          <w:bCs/>
                          <w:color w:val="C00000"/>
                        </w:rPr>
                      </w:pPr>
                      <w:r w:rsidRPr="00C7401F">
                        <w:rPr>
                          <w:b/>
                          <w:bCs/>
                          <w:color w:val="C00000"/>
                        </w:rPr>
                        <w:t>Original Article</w:t>
                      </w:r>
                    </w:p>
                  </w:txbxContent>
                </v:textbox>
              </v:shape>
            </w:pict>
          </mc:Fallback>
        </mc:AlternateContent>
      </w:r>
      <w:hyperlink r:id="rId7" w:history="1">
        <w:r w:rsidRPr="007746C3">
          <w:rPr>
            <w:rStyle w:val="Hyperlink"/>
            <w:rFonts w:asciiTheme="minorBidi" w:hAnsiTheme="minorBidi"/>
            <w:color w:val="000000" w:themeColor="text1"/>
          </w:rPr>
          <w:t>www.pjkd.com.pk</w:t>
        </w:r>
      </w:hyperlink>
    </w:p>
    <w:p w14:paraId="3E6A2323" w14:textId="77777777" w:rsidR="007746C3" w:rsidRPr="007746C3" w:rsidRDefault="007746C3" w:rsidP="007746C3">
      <w:pPr>
        <w:spacing w:after="0" w:line="240" w:lineRule="auto"/>
        <w:ind w:left="1440" w:firstLine="720"/>
        <w:jc w:val="both"/>
        <w:rPr>
          <w:rFonts w:asciiTheme="minorBidi" w:hAnsiTheme="minorBidi"/>
          <w:color w:val="000000" w:themeColor="text1"/>
        </w:rPr>
      </w:pPr>
    </w:p>
    <w:p w14:paraId="70FB022D" w14:textId="716DF5EC" w:rsidR="00FB359A" w:rsidRPr="007746C3" w:rsidRDefault="00FB359A" w:rsidP="007746C3">
      <w:pPr>
        <w:spacing w:after="0" w:line="240" w:lineRule="auto"/>
        <w:jc w:val="center"/>
        <w:rPr>
          <w:rFonts w:asciiTheme="minorBidi" w:hAnsiTheme="minorBidi"/>
          <w:b/>
          <w:bCs/>
          <w:sz w:val="28"/>
          <w:szCs w:val="28"/>
        </w:rPr>
      </w:pPr>
      <w:r w:rsidRPr="007746C3">
        <w:rPr>
          <w:rFonts w:asciiTheme="minorBidi" w:hAnsiTheme="minorBidi"/>
          <w:b/>
          <w:bCs/>
          <w:sz w:val="28"/>
          <w:szCs w:val="28"/>
        </w:rPr>
        <w:t>Compliance with Anemia Management Indicators Among Maintenance Hemodialysis Patients: A Clinical Audit from a Tertiary Center</w:t>
      </w:r>
    </w:p>
    <w:p w14:paraId="37957E7A" w14:textId="77777777" w:rsidR="007746C3" w:rsidRDefault="007746C3" w:rsidP="007746C3">
      <w:pPr>
        <w:spacing w:after="0" w:line="240" w:lineRule="auto"/>
        <w:contextualSpacing/>
        <w:rPr>
          <w:rFonts w:asciiTheme="minorBidi" w:hAnsiTheme="minorBidi"/>
          <w:sz w:val="24"/>
          <w:szCs w:val="24"/>
        </w:rPr>
      </w:pPr>
    </w:p>
    <w:p w14:paraId="50268209" w14:textId="7D0E5F27" w:rsidR="007746C3" w:rsidRPr="007746C3" w:rsidRDefault="007746C3" w:rsidP="007746C3">
      <w:pPr>
        <w:spacing w:after="0" w:line="240" w:lineRule="auto"/>
        <w:contextualSpacing/>
        <w:rPr>
          <w:rFonts w:asciiTheme="minorBidi" w:hAnsiTheme="minorBidi"/>
          <w:b/>
          <w:bCs/>
          <w:sz w:val="24"/>
          <w:szCs w:val="24"/>
        </w:rPr>
      </w:pPr>
      <w:r w:rsidRPr="007746C3">
        <w:rPr>
          <w:rFonts w:asciiTheme="minorBidi" w:hAnsiTheme="minorBidi"/>
          <w:b/>
          <w:bCs/>
          <w:sz w:val="24"/>
          <w:szCs w:val="24"/>
        </w:rPr>
        <w:t xml:space="preserve">Mehadi </w:t>
      </w:r>
      <w:proofErr w:type="spellStart"/>
      <w:r w:rsidRPr="007746C3">
        <w:rPr>
          <w:rFonts w:asciiTheme="minorBidi" w:hAnsiTheme="minorBidi"/>
          <w:b/>
          <w:bCs/>
          <w:sz w:val="24"/>
          <w:szCs w:val="24"/>
        </w:rPr>
        <w:t xml:space="preserve">Hasan, </w:t>
      </w:r>
      <w:r w:rsidR="00690A7C" w:rsidRPr="007746C3">
        <w:rPr>
          <w:rFonts w:asciiTheme="minorBidi" w:hAnsiTheme="minorBidi"/>
          <w:b/>
          <w:bCs/>
          <w:sz w:val="24"/>
          <w:szCs w:val="24"/>
        </w:rPr>
        <w:t>Ebadur</w:t>
      </w:r>
      <w:proofErr w:type="spellEnd"/>
      <w:r w:rsidR="00690A7C" w:rsidRPr="007746C3">
        <w:rPr>
          <w:rFonts w:asciiTheme="minorBidi" w:hAnsiTheme="minorBidi"/>
          <w:b/>
          <w:bCs/>
          <w:sz w:val="24"/>
          <w:szCs w:val="24"/>
        </w:rPr>
        <w:t xml:space="preserve"> Rahman,</w:t>
      </w:r>
      <w:r w:rsidR="00690A7C">
        <w:rPr>
          <w:rFonts w:asciiTheme="minorBidi" w:hAnsiTheme="minorBidi"/>
          <w:b/>
          <w:bCs/>
          <w:sz w:val="24"/>
          <w:szCs w:val="24"/>
        </w:rPr>
        <w:t xml:space="preserve"> </w:t>
      </w:r>
      <w:r w:rsidRPr="007746C3">
        <w:rPr>
          <w:rFonts w:asciiTheme="minorBidi" w:hAnsiTheme="minorBidi"/>
          <w:b/>
          <w:bCs/>
          <w:sz w:val="24"/>
          <w:szCs w:val="24"/>
        </w:rPr>
        <w:t xml:space="preserve">A.F.M. Noman, Ummay Farwa Hoque, Asma Jalal </w:t>
      </w:r>
      <w:proofErr w:type="spellStart"/>
      <w:r w:rsidRPr="007746C3">
        <w:rPr>
          <w:rFonts w:asciiTheme="minorBidi" w:hAnsiTheme="minorBidi"/>
          <w:b/>
          <w:bCs/>
          <w:sz w:val="24"/>
          <w:szCs w:val="24"/>
        </w:rPr>
        <w:t>Panjery</w:t>
      </w:r>
      <w:proofErr w:type="spellEnd"/>
      <w:r w:rsidRPr="007746C3">
        <w:rPr>
          <w:rFonts w:asciiTheme="minorBidi" w:hAnsiTheme="minorBidi"/>
          <w:b/>
          <w:bCs/>
          <w:sz w:val="24"/>
          <w:szCs w:val="24"/>
        </w:rPr>
        <w:t>, Md. Mahbubur Rahman</w:t>
      </w:r>
      <w:r w:rsidR="00690A7C">
        <w:rPr>
          <w:rFonts w:asciiTheme="minorBidi" w:hAnsiTheme="minorBidi"/>
          <w:b/>
          <w:bCs/>
          <w:sz w:val="24"/>
          <w:szCs w:val="24"/>
        </w:rPr>
        <w:t xml:space="preserve">, </w:t>
      </w:r>
      <w:r w:rsidR="00690A7C" w:rsidRPr="007746C3">
        <w:rPr>
          <w:rFonts w:asciiTheme="minorBidi" w:hAnsiTheme="minorBidi"/>
          <w:b/>
          <w:bCs/>
          <w:sz w:val="24"/>
          <w:szCs w:val="24"/>
        </w:rPr>
        <w:t>Rubiya Rahim</w:t>
      </w:r>
    </w:p>
    <w:p w14:paraId="5CE0782A" w14:textId="77777777" w:rsidR="007746C3" w:rsidRPr="007746C3" w:rsidRDefault="007746C3" w:rsidP="007746C3">
      <w:pPr>
        <w:spacing w:after="0" w:line="240" w:lineRule="auto"/>
        <w:contextualSpacing/>
        <w:rPr>
          <w:rFonts w:asciiTheme="minorBidi" w:hAnsiTheme="minorBidi"/>
          <w:b/>
          <w:bCs/>
          <w:sz w:val="24"/>
          <w:szCs w:val="24"/>
        </w:rPr>
      </w:pPr>
    </w:p>
    <w:p w14:paraId="649347CE" w14:textId="6643AC42" w:rsidR="007746C3" w:rsidRPr="007746C3" w:rsidRDefault="007746C3" w:rsidP="007746C3">
      <w:pPr>
        <w:spacing w:after="0" w:line="240" w:lineRule="auto"/>
        <w:rPr>
          <w:rFonts w:asciiTheme="minorBidi" w:hAnsiTheme="minorBidi"/>
          <w:b/>
          <w:bCs/>
        </w:rPr>
      </w:pPr>
      <w:r w:rsidRPr="007746C3">
        <w:rPr>
          <w:rFonts w:asciiTheme="minorBidi" w:hAnsiTheme="minorBidi"/>
          <w:b/>
          <w:bCs/>
        </w:rPr>
        <w:t>Department of Nephrology, Evercare hospital, Dhaka, Bangladesh</w:t>
      </w:r>
    </w:p>
    <w:p w14:paraId="76F372B6" w14:textId="77777777" w:rsidR="00FB359A" w:rsidRPr="007746C3" w:rsidRDefault="00FB359A" w:rsidP="007746C3">
      <w:pPr>
        <w:spacing w:after="0" w:line="240" w:lineRule="auto"/>
        <w:jc w:val="both"/>
        <w:rPr>
          <w:rFonts w:asciiTheme="minorBidi" w:hAnsiTheme="minorBidi"/>
          <w:b/>
          <w:bCs/>
          <w:sz w:val="24"/>
          <w:szCs w:val="24"/>
        </w:rPr>
      </w:pPr>
    </w:p>
    <w:p w14:paraId="4ABB7582" w14:textId="27C53660" w:rsidR="00FB359A" w:rsidRPr="007746C3" w:rsidRDefault="00FB359A" w:rsidP="007746C3">
      <w:pPr>
        <w:spacing w:after="0" w:line="240" w:lineRule="auto"/>
        <w:jc w:val="both"/>
        <w:rPr>
          <w:rFonts w:asciiTheme="minorBidi" w:hAnsiTheme="minorBidi"/>
          <w:b/>
          <w:bCs/>
          <w:sz w:val="24"/>
          <w:szCs w:val="24"/>
        </w:rPr>
      </w:pPr>
      <w:r w:rsidRPr="007746C3">
        <w:rPr>
          <w:rFonts w:asciiTheme="minorBidi" w:hAnsiTheme="minorBidi"/>
          <w:b/>
          <w:bCs/>
          <w:sz w:val="24"/>
          <w:szCs w:val="24"/>
        </w:rPr>
        <w:t>Abstract</w:t>
      </w:r>
    </w:p>
    <w:p w14:paraId="0DDD5A22" w14:textId="559CFC7D" w:rsidR="00FB359A" w:rsidRPr="007746C3" w:rsidRDefault="00FB359A" w:rsidP="007746C3">
      <w:pPr>
        <w:pStyle w:val="NormalWeb"/>
        <w:spacing w:before="0" w:beforeAutospacing="0" w:after="0" w:afterAutospacing="0"/>
        <w:jc w:val="both"/>
        <w:rPr>
          <w:rFonts w:ascii="PMingLiU" w:eastAsia="PMingLiU" w:hAnsi="PMingLiU" w:cstheme="minorBidi"/>
          <w:sz w:val="20"/>
          <w:szCs w:val="20"/>
        </w:rPr>
      </w:pPr>
      <w:r w:rsidRPr="007746C3">
        <w:rPr>
          <w:rStyle w:val="Strong"/>
          <w:rFonts w:ascii="PMingLiU" w:eastAsia="PMingLiU" w:hAnsi="PMingLiU" w:cstheme="minorBidi"/>
          <w:sz w:val="20"/>
          <w:szCs w:val="20"/>
        </w:rPr>
        <w:t>Background</w:t>
      </w:r>
      <w:r w:rsidR="00A452A8" w:rsidRPr="007746C3">
        <w:rPr>
          <w:rFonts w:ascii="PMingLiU" w:eastAsia="PMingLiU" w:hAnsi="PMingLiU" w:cstheme="minorBidi"/>
          <w:sz w:val="20"/>
          <w:szCs w:val="20"/>
        </w:rPr>
        <w:t xml:space="preserve"> </w:t>
      </w:r>
      <w:r w:rsidRPr="007746C3">
        <w:rPr>
          <w:rFonts w:ascii="PMingLiU" w:eastAsia="PMingLiU" w:hAnsi="PMingLiU" w:cstheme="minorBidi"/>
          <w:sz w:val="20"/>
          <w:szCs w:val="20"/>
        </w:rPr>
        <w:t>Anemia is a major complication among patients with end-stage renal disease (ESRD) receiving maintenance hemodialysis (MHD). Effective management requires consistent adherence to guideline-recommended practices, including hemoglobin monitoring, iron assessment, and appropriate erythropoiesis-stimulating agent (ESA) titration. This audit aimed to evaluate compliance with key anemia management indicators in a tertiary hemodialysis unit.</w:t>
      </w:r>
    </w:p>
    <w:p w14:paraId="7FD78877" w14:textId="72043DD6" w:rsidR="00FB359A" w:rsidRPr="007746C3" w:rsidRDefault="00FB359A" w:rsidP="007746C3">
      <w:pPr>
        <w:pStyle w:val="NormalWeb"/>
        <w:spacing w:before="0" w:beforeAutospacing="0" w:after="0" w:afterAutospacing="0"/>
        <w:jc w:val="both"/>
        <w:rPr>
          <w:rFonts w:ascii="PMingLiU" w:eastAsia="PMingLiU" w:hAnsi="PMingLiU" w:cstheme="minorBidi"/>
          <w:sz w:val="20"/>
          <w:szCs w:val="20"/>
        </w:rPr>
      </w:pPr>
      <w:r w:rsidRPr="007746C3">
        <w:rPr>
          <w:rStyle w:val="Strong"/>
          <w:rFonts w:ascii="PMingLiU" w:eastAsia="PMingLiU" w:hAnsi="PMingLiU" w:cstheme="minorBidi"/>
          <w:sz w:val="20"/>
          <w:szCs w:val="20"/>
        </w:rPr>
        <w:t>Methods</w:t>
      </w:r>
      <w:r w:rsidR="00A452A8" w:rsidRPr="007746C3">
        <w:rPr>
          <w:rFonts w:ascii="PMingLiU" w:eastAsia="PMingLiU" w:hAnsi="PMingLiU" w:cstheme="minorBidi"/>
          <w:sz w:val="20"/>
          <w:szCs w:val="20"/>
        </w:rPr>
        <w:t xml:space="preserve"> </w:t>
      </w:r>
      <w:r w:rsidRPr="007746C3">
        <w:rPr>
          <w:rFonts w:ascii="PMingLiU" w:eastAsia="PMingLiU" w:hAnsi="PMingLiU" w:cstheme="minorBidi"/>
          <w:sz w:val="20"/>
          <w:szCs w:val="20"/>
        </w:rPr>
        <w:t>A cross-sectional clinical audit was conducted among 62 adult MHD patients at Evercare Hospital Dhaka. Data were collected using a structured checklist based on KDIGO 2021 anemia guidelines. Eight indicators were assessed: anemia screening, iron status documentation, correction of iron deficiency, post-ESA hemoglobin monitoring, maintenance of target hemoglobin, quarterly iron profile checks, ESA dose adjustments, and completion of patient education. Compliance levels were analyzed descriptively and compared across genders.</w:t>
      </w:r>
    </w:p>
    <w:p w14:paraId="0A9B2D54" w14:textId="47F3E0CF" w:rsidR="00FB359A" w:rsidRPr="007746C3" w:rsidRDefault="00FB359A" w:rsidP="007746C3">
      <w:pPr>
        <w:pStyle w:val="NormalWeb"/>
        <w:spacing w:before="0" w:beforeAutospacing="0" w:after="0" w:afterAutospacing="0"/>
        <w:jc w:val="both"/>
        <w:rPr>
          <w:rFonts w:ascii="PMingLiU" w:eastAsia="PMingLiU" w:hAnsi="PMingLiU" w:cstheme="minorBidi"/>
          <w:sz w:val="20"/>
          <w:szCs w:val="20"/>
        </w:rPr>
      </w:pPr>
      <w:r w:rsidRPr="007746C3">
        <w:rPr>
          <w:rStyle w:val="Strong"/>
          <w:rFonts w:ascii="PMingLiU" w:eastAsia="PMingLiU" w:hAnsi="PMingLiU" w:cstheme="minorBidi"/>
          <w:sz w:val="20"/>
          <w:szCs w:val="20"/>
        </w:rPr>
        <w:t>Results</w:t>
      </w:r>
      <w:r w:rsidR="00A452A8" w:rsidRPr="007746C3">
        <w:rPr>
          <w:rFonts w:ascii="PMingLiU" w:eastAsia="PMingLiU" w:hAnsi="PMingLiU" w:cstheme="minorBidi"/>
          <w:sz w:val="20"/>
          <w:szCs w:val="20"/>
        </w:rPr>
        <w:t xml:space="preserve"> </w:t>
      </w:r>
      <w:r w:rsidRPr="007746C3">
        <w:rPr>
          <w:rFonts w:ascii="PMingLiU" w:eastAsia="PMingLiU" w:hAnsi="PMingLiU" w:cstheme="minorBidi"/>
          <w:sz w:val="20"/>
          <w:szCs w:val="20"/>
        </w:rPr>
        <w:t>High compliance (82–100%) was observed in anemia screening, ESA dosing, post-ESA hemoglobin monitoring, and patient education. Hemoglobin maintenance within target ranges showed moderate adherence (62.9%). Iron documentation (35.5%) and quarterly iron monitoring (8.1%) demonstrated critically low compliance. Male patients achieved better hemoglobin control than females (80.8% vs. 50%). A strong positive correlation was found between appropriate ESA titration and hemoglobin stability.</w:t>
      </w:r>
    </w:p>
    <w:p w14:paraId="7E2698CC" w14:textId="38524A29" w:rsidR="00FB359A" w:rsidRDefault="00FB359A" w:rsidP="007746C3">
      <w:pPr>
        <w:pStyle w:val="NormalWeb"/>
        <w:spacing w:before="0" w:beforeAutospacing="0" w:after="0" w:afterAutospacing="0"/>
        <w:jc w:val="both"/>
        <w:rPr>
          <w:rFonts w:ascii="PMingLiU" w:eastAsia="PMingLiU" w:hAnsi="PMingLiU" w:cstheme="minorBidi"/>
          <w:sz w:val="20"/>
          <w:szCs w:val="20"/>
        </w:rPr>
      </w:pPr>
      <w:r w:rsidRPr="007746C3">
        <w:rPr>
          <w:rStyle w:val="Strong"/>
          <w:rFonts w:ascii="PMingLiU" w:eastAsia="PMingLiU" w:hAnsi="PMingLiU" w:cstheme="minorBidi"/>
          <w:sz w:val="20"/>
          <w:szCs w:val="20"/>
        </w:rPr>
        <w:t>Conclusion</w:t>
      </w:r>
      <w:r w:rsidR="00A77615" w:rsidRPr="007746C3">
        <w:rPr>
          <w:rStyle w:val="Strong"/>
          <w:rFonts w:ascii="PMingLiU" w:eastAsia="PMingLiU" w:hAnsi="PMingLiU" w:cstheme="minorBidi"/>
          <w:sz w:val="20"/>
          <w:szCs w:val="20"/>
        </w:rPr>
        <w:t xml:space="preserve"> </w:t>
      </w:r>
      <w:r w:rsidRPr="007746C3">
        <w:rPr>
          <w:rFonts w:ascii="PMingLiU" w:eastAsia="PMingLiU" w:hAnsi="PMingLiU" w:cstheme="minorBidi"/>
          <w:sz w:val="20"/>
          <w:szCs w:val="20"/>
        </w:rPr>
        <w:t>The audit identified strong adherence to ESA-related processes and patient education but highlighted major gaps in iron assessment and routine monitoring. Strengthening iron management practices is essential to optimize anemia outcomes in MHD patients. Targeted quality-improvement interventions are recommended to enhance overall compliance and align practice with international standards.</w:t>
      </w:r>
    </w:p>
    <w:p w14:paraId="5D0F789C" w14:textId="283A499A" w:rsidR="007746C3" w:rsidRPr="00284622" w:rsidRDefault="007746C3" w:rsidP="007746C3">
      <w:pPr>
        <w:jc w:val="both"/>
        <w:rPr>
          <w:rFonts w:ascii="PMingLiU" w:eastAsia="PMingLiU" w:hAnsi="PMingLiU"/>
          <w:b/>
          <w:bCs/>
        </w:rPr>
      </w:pPr>
      <w:r w:rsidRPr="00284622">
        <w:rPr>
          <w:rFonts w:asciiTheme="minorBidi" w:hAnsiTheme="minorBidi"/>
          <w:b/>
          <w:bCs/>
        </w:rPr>
        <w:t>Key Words:</w:t>
      </w:r>
      <w:r w:rsidRPr="00284622">
        <w:rPr>
          <w:rFonts w:asciiTheme="minorBidi" w:hAnsiTheme="minorBidi"/>
        </w:rPr>
        <w:t xml:space="preserve"> </w:t>
      </w:r>
      <w:r>
        <w:rPr>
          <w:rFonts w:ascii="PMingLiU" w:eastAsia="PMingLiU" w:hAnsi="PMingLiU"/>
        </w:rPr>
        <w:t xml:space="preserve">Anemia, compliance, clinical audit, </w:t>
      </w:r>
      <w:r w:rsidR="006035C4">
        <w:rPr>
          <w:rFonts w:ascii="PMingLiU" w:eastAsia="PMingLiU" w:hAnsi="PMingLiU"/>
        </w:rPr>
        <w:t>iron deficiency</w:t>
      </w:r>
      <w:r>
        <w:rPr>
          <w:rFonts w:ascii="PMingLiU" w:eastAsia="PMingLiU" w:hAnsi="PMingLiU"/>
        </w:rPr>
        <w:t xml:space="preserve">, </w:t>
      </w:r>
      <w:proofErr w:type="spellStart"/>
      <w:proofErr w:type="gramStart"/>
      <w:r w:rsidR="006035C4">
        <w:rPr>
          <w:rFonts w:ascii="PMingLiU" w:eastAsia="PMingLiU" w:hAnsi="PMingLiU"/>
        </w:rPr>
        <w:t>erythropoietin,</w:t>
      </w:r>
      <w:r>
        <w:rPr>
          <w:rFonts w:ascii="PMingLiU" w:eastAsia="PMingLiU" w:hAnsi="PMingLiU"/>
        </w:rPr>
        <w:t>hemodialysis</w:t>
      </w:r>
      <w:proofErr w:type="spellEnd"/>
      <w:proofErr w:type="gramEnd"/>
      <w:r>
        <w:rPr>
          <w:rFonts w:ascii="PMingLiU" w:eastAsia="PMingLiU" w:hAnsi="PMingLiU"/>
        </w:rPr>
        <w:t>, end stage kidney disease.</w:t>
      </w:r>
    </w:p>
    <w:p w14:paraId="3592DF1A" w14:textId="77777777" w:rsidR="007746C3" w:rsidRDefault="007746C3" w:rsidP="007746C3">
      <w:pPr>
        <w:ind w:right="461"/>
        <w:jc w:val="both"/>
        <w:rPr>
          <w:b/>
          <w:spacing w:val="-2"/>
          <w:sz w:val="28"/>
        </w:rPr>
      </w:pPr>
      <w:r>
        <w:rPr>
          <w:b/>
          <w:spacing w:val="-2"/>
          <w:sz w:val="28"/>
        </w:rPr>
        <w:t>Corresponding Author</w:t>
      </w:r>
    </w:p>
    <w:p w14:paraId="5E85A789" w14:textId="62361730" w:rsidR="007746C3" w:rsidRDefault="007746C3" w:rsidP="007746C3">
      <w:pPr>
        <w:spacing w:after="0" w:line="240" w:lineRule="auto"/>
        <w:jc w:val="both"/>
        <w:rPr>
          <w:rFonts w:ascii="PMingLiU" w:eastAsia="PMingLiU" w:hAnsi="PMingLiU"/>
          <w:sz w:val="20"/>
          <w:szCs w:val="20"/>
        </w:rPr>
      </w:pPr>
      <w:r w:rsidRPr="007746C3">
        <w:rPr>
          <w:rFonts w:ascii="PMingLiU" w:eastAsia="PMingLiU" w:hAnsi="PMingLiU"/>
          <w:sz w:val="20"/>
          <w:szCs w:val="20"/>
        </w:rPr>
        <w:t xml:space="preserve">Dr. </w:t>
      </w:r>
      <w:proofErr w:type="spellStart"/>
      <w:r w:rsidR="003D1EEF">
        <w:rPr>
          <w:rFonts w:ascii="PMingLiU" w:eastAsia="PMingLiU" w:hAnsi="PMingLiU"/>
          <w:sz w:val="20"/>
          <w:szCs w:val="20"/>
        </w:rPr>
        <w:t>Rubaiya</w:t>
      </w:r>
      <w:proofErr w:type="spellEnd"/>
      <w:r w:rsidR="003D1EEF">
        <w:rPr>
          <w:rFonts w:ascii="PMingLiU" w:eastAsia="PMingLiU" w:hAnsi="PMingLiU"/>
          <w:sz w:val="20"/>
          <w:szCs w:val="20"/>
        </w:rPr>
        <w:t xml:space="preserve"> Rahim</w:t>
      </w:r>
    </w:p>
    <w:p w14:paraId="4660148E" w14:textId="5DBE8676" w:rsidR="007746C3" w:rsidRPr="003D1EEF" w:rsidRDefault="007746C3" w:rsidP="003D1EEF">
      <w:pPr>
        <w:spacing w:after="0" w:line="240" w:lineRule="auto"/>
        <w:rPr>
          <w:rFonts w:ascii="PMingLiU" w:eastAsia="PMingLiU" w:hAnsi="PMingLiU"/>
          <w:sz w:val="20"/>
          <w:szCs w:val="20"/>
        </w:rPr>
      </w:pPr>
      <w:r w:rsidRPr="003D1EEF">
        <w:rPr>
          <w:rFonts w:ascii="PMingLiU" w:eastAsia="PMingLiU" w:hAnsi="PMingLiU"/>
          <w:sz w:val="20"/>
          <w:szCs w:val="20"/>
        </w:rPr>
        <w:t>Department of Nephrology, Evercare hospital, Dhaka, Bangladesh</w:t>
      </w:r>
    </w:p>
    <w:p w14:paraId="48790A5C" w14:textId="37CF0063" w:rsidR="007746C3" w:rsidRPr="003D1EEF" w:rsidRDefault="007746C3" w:rsidP="007746C3">
      <w:pPr>
        <w:spacing w:after="0" w:line="240" w:lineRule="auto"/>
        <w:jc w:val="both"/>
        <w:rPr>
          <w:rFonts w:ascii="PMingLiU" w:eastAsia="PMingLiU" w:hAnsi="PMingLiU"/>
          <w:sz w:val="20"/>
          <w:szCs w:val="20"/>
        </w:rPr>
      </w:pPr>
      <w:r w:rsidRPr="003D1EEF">
        <w:rPr>
          <w:rFonts w:ascii="PMingLiU" w:eastAsia="PMingLiU" w:hAnsi="PMingLiU"/>
          <w:sz w:val="20"/>
          <w:szCs w:val="20"/>
        </w:rPr>
        <w:t>E-mail:</w:t>
      </w:r>
      <w:r w:rsidR="003D1EEF" w:rsidRPr="003D1EEF">
        <w:rPr>
          <w:rFonts w:ascii="PMingLiU" w:eastAsia="PMingLiU" w:hAnsi="PMingLiU" w:cs="Times New Roman"/>
          <w:sz w:val="20"/>
          <w:szCs w:val="20"/>
        </w:rPr>
        <w:t xml:space="preserve"> rahimrubaiya24@gmail.com</w:t>
      </w:r>
    </w:p>
    <w:p w14:paraId="235236A4" w14:textId="46A818C2" w:rsidR="007746C3" w:rsidRPr="007746C3" w:rsidRDefault="007746C3" w:rsidP="007746C3">
      <w:pPr>
        <w:spacing w:after="0" w:line="240" w:lineRule="auto"/>
        <w:rPr>
          <w:rFonts w:ascii="PMingLiU" w:eastAsia="PMingLiU" w:hAnsi="PMingLiU"/>
          <w:sz w:val="20"/>
          <w:szCs w:val="20"/>
        </w:rPr>
      </w:pPr>
      <w:r w:rsidRPr="007746C3">
        <w:rPr>
          <w:rFonts w:ascii="PMingLiU" w:eastAsia="PMingLiU" w:hAnsi="PMingLiU"/>
          <w:sz w:val="20"/>
          <w:szCs w:val="20"/>
        </w:rPr>
        <w:t>DOI:</w:t>
      </w:r>
      <w:r w:rsidR="006035C4" w:rsidRPr="006035C4">
        <w:t xml:space="preserve"> </w:t>
      </w:r>
      <w:r w:rsidR="006035C4" w:rsidRPr="006035C4">
        <w:rPr>
          <w:rFonts w:ascii="PMingLiU" w:eastAsia="PMingLiU" w:hAnsi="PMingLiU"/>
          <w:sz w:val="20"/>
          <w:szCs w:val="20"/>
        </w:rPr>
        <w:t>10.53778/pjkd101340</w:t>
      </w:r>
    </w:p>
    <w:p w14:paraId="2406F491" w14:textId="3F9BD0C0" w:rsidR="007746C3" w:rsidRPr="007746C3" w:rsidRDefault="007746C3" w:rsidP="007746C3">
      <w:pPr>
        <w:spacing w:after="0" w:line="240" w:lineRule="auto"/>
        <w:ind w:right="-45"/>
        <w:jc w:val="both"/>
        <w:rPr>
          <w:rFonts w:ascii="PMingLiU" w:eastAsia="PMingLiU" w:hAnsi="PMingLiU"/>
          <w:color w:val="000000" w:themeColor="text1"/>
          <w:sz w:val="18"/>
          <w:szCs w:val="18"/>
        </w:rPr>
      </w:pPr>
      <w:r w:rsidRPr="007746C3">
        <w:rPr>
          <w:rFonts w:ascii="PMingLiU" w:eastAsia="PMingLiU" w:hAnsi="PMingLiU"/>
          <w:color w:val="000000" w:themeColor="text1"/>
        </w:rPr>
        <w:t xml:space="preserve">Received </w:t>
      </w:r>
      <w:r w:rsidR="0037426C">
        <w:rPr>
          <w:rFonts w:ascii="PMingLiU" w:eastAsia="PMingLiU" w:hAnsi="PMingLiU"/>
          <w:color w:val="000000" w:themeColor="text1"/>
        </w:rPr>
        <w:t>25</w:t>
      </w:r>
      <w:r w:rsidR="0037426C" w:rsidRPr="0037426C">
        <w:rPr>
          <w:rFonts w:ascii="PMingLiU" w:eastAsia="PMingLiU" w:hAnsi="PMingLiU"/>
          <w:color w:val="000000" w:themeColor="text1"/>
          <w:vertAlign w:val="superscript"/>
        </w:rPr>
        <w:t>th</w:t>
      </w:r>
      <w:r w:rsidR="0037426C">
        <w:rPr>
          <w:rFonts w:ascii="PMingLiU" w:eastAsia="PMingLiU" w:hAnsi="PMingLiU"/>
          <w:color w:val="000000" w:themeColor="text1"/>
        </w:rPr>
        <w:t xml:space="preserve"> Jan 2026 and accepted 27</w:t>
      </w:r>
      <w:r w:rsidR="0037426C" w:rsidRPr="0037426C">
        <w:rPr>
          <w:rFonts w:ascii="PMingLiU" w:eastAsia="PMingLiU" w:hAnsi="PMingLiU"/>
          <w:color w:val="000000" w:themeColor="text1"/>
          <w:vertAlign w:val="superscript"/>
        </w:rPr>
        <w:t>th</w:t>
      </w:r>
      <w:r w:rsidR="0037426C">
        <w:rPr>
          <w:rFonts w:ascii="PMingLiU" w:eastAsia="PMingLiU" w:hAnsi="PMingLiU"/>
          <w:color w:val="000000" w:themeColor="text1"/>
        </w:rPr>
        <w:t xml:space="preserve"> March 2026</w:t>
      </w:r>
      <w:r w:rsidRPr="007746C3">
        <w:rPr>
          <w:rFonts w:ascii="PMingLiU" w:eastAsia="PMingLiU" w:hAnsi="PMingLiU"/>
          <w:color w:val="000000" w:themeColor="text1"/>
          <w:sz w:val="20"/>
          <w:szCs w:val="20"/>
        </w:rPr>
        <w:tab/>
      </w:r>
      <w:r w:rsidRPr="007746C3">
        <w:rPr>
          <w:rFonts w:ascii="PMingLiU" w:eastAsia="PMingLiU" w:hAnsi="PMingLiU"/>
          <w:color w:val="000000" w:themeColor="text1"/>
          <w:sz w:val="20"/>
          <w:szCs w:val="20"/>
        </w:rPr>
        <w:tab/>
      </w:r>
      <w:r w:rsidRPr="007746C3">
        <w:rPr>
          <w:rFonts w:ascii="PMingLiU" w:eastAsia="PMingLiU" w:hAnsi="PMingLiU"/>
          <w:color w:val="000000" w:themeColor="text1"/>
          <w:sz w:val="20"/>
          <w:szCs w:val="20"/>
        </w:rPr>
        <w:tab/>
      </w:r>
      <w:r w:rsidRPr="007746C3">
        <w:rPr>
          <w:rFonts w:ascii="PMingLiU" w:eastAsia="PMingLiU" w:hAnsi="PMingLiU"/>
          <w:color w:val="000000" w:themeColor="text1"/>
          <w:sz w:val="20"/>
          <w:szCs w:val="20"/>
        </w:rPr>
        <w:tab/>
      </w:r>
      <w:r w:rsidRPr="007746C3">
        <w:rPr>
          <w:rFonts w:ascii="PMingLiU" w:eastAsia="PMingLiU" w:hAnsi="PMingLiU"/>
          <w:color w:val="000000" w:themeColor="text1"/>
          <w:sz w:val="18"/>
          <w:szCs w:val="18"/>
        </w:rPr>
        <w:t>PJKD 202</w:t>
      </w:r>
      <w:r>
        <w:rPr>
          <w:rFonts w:ascii="PMingLiU" w:eastAsia="PMingLiU" w:hAnsi="PMingLiU"/>
          <w:color w:val="000000" w:themeColor="text1"/>
          <w:sz w:val="18"/>
          <w:szCs w:val="18"/>
        </w:rPr>
        <w:t>6</w:t>
      </w:r>
      <w:r w:rsidRPr="007746C3">
        <w:rPr>
          <w:rFonts w:ascii="PMingLiU" w:eastAsia="PMingLiU" w:hAnsi="PMingLiU"/>
          <w:color w:val="000000" w:themeColor="text1"/>
          <w:sz w:val="18"/>
          <w:szCs w:val="18"/>
        </w:rPr>
        <w:t>;</w:t>
      </w:r>
      <w:r>
        <w:rPr>
          <w:rFonts w:ascii="PMingLiU" w:eastAsia="PMingLiU" w:hAnsi="PMingLiU"/>
          <w:color w:val="000000" w:themeColor="text1"/>
          <w:sz w:val="18"/>
          <w:szCs w:val="18"/>
        </w:rPr>
        <w:t>10</w:t>
      </w:r>
      <w:r w:rsidRPr="007746C3">
        <w:rPr>
          <w:rFonts w:ascii="PMingLiU" w:eastAsia="PMingLiU" w:hAnsi="PMingLiU"/>
          <w:color w:val="000000" w:themeColor="text1"/>
          <w:sz w:val="18"/>
          <w:szCs w:val="18"/>
        </w:rPr>
        <w:t>(</w:t>
      </w:r>
      <w:r>
        <w:rPr>
          <w:rFonts w:ascii="PMingLiU" w:eastAsia="PMingLiU" w:hAnsi="PMingLiU"/>
          <w:color w:val="000000" w:themeColor="text1"/>
          <w:sz w:val="18"/>
          <w:szCs w:val="18"/>
        </w:rPr>
        <w:t>1</w:t>
      </w:r>
      <w:r w:rsidRPr="007746C3">
        <w:rPr>
          <w:rFonts w:ascii="PMingLiU" w:eastAsia="PMingLiU" w:hAnsi="PMingLiU"/>
          <w:color w:val="000000" w:themeColor="text1"/>
          <w:sz w:val="18"/>
          <w:szCs w:val="18"/>
        </w:rPr>
        <w:t>):</w:t>
      </w:r>
      <w:r w:rsidR="000979A2">
        <w:rPr>
          <w:rFonts w:ascii="PMingLiU" w:eastAsia="PMingLiU" w:hAnsi="PMingLiU"/>
          <w:color w:val="000000" w:themeColor="text1"/>
          <w:sz w:val="18"/>
          <w:szCs w:val="18"/>
        </w:rPr>
        <w:t>10-17</w:t>
      </w:r>
    </w:p>
    <w:p w14:paraId="63171B0F" w14:textId="77777777" w:rsidR="006035C4" w:rsidRDefault="007746C3" w:rsidP="006035C4">
      <w:pPr>
        <w:ind w:right="-45"/>
        <w:jc w:val="both"/>
        <w:rPr>
          <w:rFonts w:asciiTheme="minorBidi" w:hAnsiTheme="minorBidi"/>
          <w:color w:val="000000" w:themeColor="text1"/>
        </w:rPr>
      </w:pPr>
      <w:r w:rsidRPr="00E970E9">
        <w:rPr>
          <w:rFonts w:asciiTheme="minorBidi" w:eastAsia="PMingLiU" w:hAnsiTheme="minorBidi"/>
          <w:b/>
          <w:bCs/>
          <w:noProof/>
          <w:color w:val="000000" w:themeColor="text1"/>
          <w:sz w:val="18"/>
          <w:szCs w:val="18"/>
        </w:rPr>
        <mc:AlternateContent>
          <mc:Choice Requires="wps">
            <w:drawing>
              <wp:anchor distT="0" distB="0" distL="114300" distR="114300" simplePos="0" relativeHeight="251661312" behindDoc="0" locked="0" layoutInCell="1" allowOverlap="1" wp14:anchorId="0CBB5A3D" wp14:editId="0A817EDA">
                <wp:simplePos x="0" y="0"/>
                <wp:positionH relativeFrom="column">
                  <wp:posOffset>0</wp:posOffset>
                </wp:positionH>
                <wp:positionV relativeFrom="paragraph">
                  <wp:posOffset>97427</wp:posOffset>
                </wp:positionV>
                <wp:extent cx="5592536" cy="0"/>
                <wp:effectExtent l="0" t="0" r="8255" b="12700"/>
                <wp:wrapNone/>
                <wp:docPr id="3" name="Straight Connector 3"/>
                <wp:cNvGraphicFramePr/>
                <a:graphic xmlns:a="http://schemas.openxmlformats.org/drawingml/2006/main">
                  <a:graphicData uri="http://schemas.microsoft.com/office/word/2010/wordprocessingShape">
                    <wps:wsp>
                      <wps:cNvCnPr/>
                      <wps:spPr>
                        <a:xfrm>
                          <a:off x="0" y="0"/>
                          <a:ext cx="5592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DF1425"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65pt" to="440.35pt,7.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" strokecolor="black [3213]" strokeweight=".5pt">
                <v:stroke joinstyle="miter"/>
              </v:line>
            </w:pict>
          </mc:Fallback>
        </mc:AlternateContent>
      </w:r>
    </w:p>
    <w:p w14:paraId="69B4E68C" w14:textId="2DEC737C" w:rsidR="00562339" w:rsidRPr="006035C4" w:rsidRDefault="00562339" w:rsidP="006035C4">
      <w:pPr>
        <w:spacing w:after="0" w:line="240" w:lineRule="auto"/>
        <w:ind w:right="-45"/>
        <w:jc w:val="both"/>
        <w:rPr>
          <w:rFonts w:asciiTheme="minorBidi" w:hAnsiTheme="minorBidi"/>
          <w:color w:val="000000" w:themeColor="text1"/>
        </w:rPr>
      </w:pPr>
      <w:r w:rsidRPr="007746C3">
        <w:rPr>
          <w:rFonts w:asciiTheme="minorBidi" w:hAnsiTheme="minorBidi"/>
          <w:b/>
          <w:bCs/>
          <w:sz w:val="24"/>
          <w:szCs w:val="24"/>
        </w:rPr>
        <w:t>Introduction</w:t>
      </w:r>
    </w:p>
    <w:p w14:paraId="551CC1F3" w14:textId="0B044527" w:rsidR="00562339" w:rsidRPr="006035C4" w:rsidRDefault="00562339" w:rsidP="006035C4">
      <w:pPr>
        <w:spacing w:after="0" w:line="240" w:lineRule="auto"/>
        <w:jc w:val="both"/>
        <w:rPr>
          <w:rFonts w:ascii="PMingLiU" w:eastAsia="PMingLiU" w:hAnsi="PMingLiU"/>
          <w:sz w:val="24"/>
          <w:szCs w:val="24"/>
        </w:rPr>
      </w:pPr>
      <w:r w:rsidRPr="006035C4">
        <w:rPr>
          <w:rFonts w:ascii="PMingLiU" w:eastAsia="PMingLiU" w:hAnsi="PMingLiU"/>
          <w:sz w:val="24"/>
          <w:szCs w:val="24"/>
        </w:rPr>
        <w:t xml:space="preserve">Anemia remains a major clinical challenge in patients with end-stage renal disease (ESRD), particularly those receiving maintenance hemodialysis (MHD). It is primarily caused by inadequate erythropoietin production, chronic inflammation, and disordered iron metabolism, all of which contribute to impaired erythropoiesis and increased </w:t>
      </w:r>
      <w:r w:rsidR="00A452A8" w:rsidRPr="006035C4">
        <w:rPr>
          <w:rFonts w:ascii="PMingLiU" w:eastAsia="PMingLiU" w:hAnsi="PMingLiU"/>
          <w:sz w:val="24"/>
          <w:szCs w:val="24"/>
        </w:rPr>
        <w:t>morbidity. ¹</w:t>
      </w:r>
      <w:r w:rsidRPr="006035C4">
        <w:rPr>
          <w:rFonts w:ascii="PMingLiU" w:eastAsia="PMingLiU" w:hAnsi="PMingLiU"/>
          <w:sz w:val="24"/>
          <w:szCs w:val="24"/>
        </w:rPr>
        <w:t xml:space="preserve"> Recent global evidence highlights that anemia in dialysis patients is strongly associated with fatigue, reduced functional capacity, cognitive impairment, and heightened cardiovascular risk, underscoring its importance as a therapeutic </w:t>
      </w:r>
      <w:r w:rsidR="00A452A8" w:rsidRPr="006035C4">
        <w:rPr>
          <w:rFonts w:ascii="PMingLiU" w:eastAsia="PMingLiU" w:hAnsi="PMingLiU"/>
          <w:sz w:val="24"/>
          <w:szCs w:val="24"/>
        </w:rPr>
        <w:t>priority. ²</w:t>
      </w:r>
    </w:p>
    <w:p w14:paraId="4B495F9E" w14:textId="1427AADD" w:rsidR="00562339" w:rsidRPr="006035C4" w:rsidRDefault="00562339" w:rsidP="007746C3">
      <w:pPr>
        <w:spacing w:after="0" w:line="240" w:lineRule="auto"/>
        <w:jc w:val="both"/>
        <w:rPr>
          <w:rFonts w:ascii="PMingLiU" w:eastAsia="PMingLiU" w:hAnsi="PMingLiU"/>
          <w:sz w:val="24"/>
          <w:szCs w:val="24"/>
        </w:rPr>
      </w:pPr>
      <w:r w:rsidRPr="006035C4">
        <w:rPr>
          <w:rFonts w:ascii="PMingLiU" w:eastAsia="PMingLiU" w:hAnsi="PMingLiU"/>
          <w:sz w:val="24"/>
          <w:szCs w:val="24"/>
        </w:rPr>
        <w:lastRenderedPageBreak/>
        <w:t>Over the past decade, advances in anemia management</w:t>
      </w:r>
      <w:r w:rsidR="00A452A8" w:rsidRPr="006035C4">
        <w:rPr>
          <w:rFonts w:ascii="PMingLiU" w:eastAsia="PMingLiU" w:hAnsi="PMingLiU"/>
          <w:sz w:val="24"/>
          <w:szCs w:val="24"/>
        </w:rPr>
        <w:t xml:space="preserve"> </w:t>
      </w:r>
      <w:r w:rsidRPr="006035C4">
        <w:rPr>
          <w:rFonts w:ascii="PMingLiU" w:eastAsia="PMingLiU" w:hAnsi="PMingLiU"/>
          <w:sz w:val="24"/>
          <w:szCs w:val="24"/>
        </w:rPr>
        <w:t>including refined dosing strategies for erythropoiesis-stimulating agents (ESAs) and improved approaches to iron supplementation</w:t>
      </w:r>
      <w:r w:rsidR="00A452A8" w:rsidRPr="006035C4">
        <w:rPr>
          <w:rFonts w:ascii="PMingLiU" w:eastAsia="PMingLiU" w:hAnsi="PMingLiU"/>
          <w:sz w:val="24"/>
          <w:szCs w:val="24"/>
        </w:rPr>
        <w:t xml:space="preserve"> </w:t>
      </w:r>
      <w:r w:rsidRPr="006035C4">
        <w:rPr>
          <w:rFonts w:ascii="PMingLiU" w:eastAsia="PMingLiU" w:hAnsi="PMingLiU"/>
          <w:sz w:val="24"/>
          <w:szCs w:val="24"/>
        </w:rPr>
        <w:t xml:space="preserve">have significantly shaped treatment </w:t>
      </w:r>
      <w:r w:rsidR="003F13DB" w:rsidRPr="006035C4">
        <w:rPr>
          <w:rFonts w:ascii="PMingLiU" w:eastAsia="PMingLiU" w:hAnsi="PMingLiU"/>
          <w:sz w:val="24"/>
          <w:szCs w:val="24"/>
        </w:rPr>
        <w:t>pathways. ³</w:t>
      </w:r>
      <w:r w:rsidRPr="006035C4">
        <w:rPr>
          <w:rFonts w:ascii="PMingLiU" w:eastAsia="PMingLiU" w:hAnsi="PMingLiU"/>
          <w:sz w:val="24"/>
          <w:szCs w:val="24"/>
        </w:rPr>
        <w:t xml:space="preserve"> However, the success of these interventions relies heavily on adherence to standardized protocols. Timely hemoglobin monitoring, regular assessment of iron status, and accurate titration of ESAs remain essential components of effective anemia care, as emphasized in updated </w:t>
      </w:r>
      <w:proofErr w:type="gramStart"/>
      <w:r w:rsidRPr="006035C4">
        <w:rPr>
          <w:rFonts w:ascii="PMingLiU" w:eastAsia="PMingLiU" w:hAnsi="PMingLiU"/>
          <w:sz w:val="24"/>
          <w:szCs w:val="24"/>
        </w:rPr>
        <w:t>Kidney Disease</w:t>
      </w:r>
      <w:proofErr w:type="gramEnd"/>
      <w:r w:rsidRPr="006035C4">
        <w:rPr>
          <w:rFonts w:ascii="PMingLiU" w:eastAsia="PMingLiU" w:hAnsi="PMingLiU"/>
          <w:sz w:val="24"/>
          <w:szCs w:val="24"/>
        </w:rPr>
        <w:t xml:space="preserve">: Improving Global Outcomes (KDIGO) </w:t>
      </w:r>
      <w:r w:rsidR="003F13DB" w:rsidRPr="006035C4">
        <w:rPr>
          <w:rFonts w:ascii="PMingLiU" w:eastAsia="PMingLiU" w:hAnsi="PMingLiU"/>
          <w:sz w:val="24"/>
          <w:szCs w:val="24"/>
        </w:rPr>
        <w:t xml:space="preserve">recommendations. </w:t>
      </w:r>
      <w:r w:rsidR="003F13DB" w:rsidRPr="006035C4">
        <w:rPr>
          <w:rFonts w:ascii="Cambria Math" w:eastAsia="PMingLiU" w:hAnsi="Cambria Math" w:cs="Cambria Math"/>
          <w:sz w:val="24"/>
          <w:szCs w:val="24"/>
        </w:rPr>
        <w:t>⁴</w:t>
      </w:r>
      <w:r w:rsidRPr="006035C4">
        <w:rPr>
          <w:rFonts w:ascii="PMingLiU" w:eastAsia="PMingLiU" w:hAnsi="PMingLiU"/>
          <w:sz w:val="24"/>
          <w:szCs w:val="24"/>
        </w:rPr>
        <w:t xml:space="preserve"> Despite the availability of these guidelines, contemporary studies indicate persistent variability in clinical practice, often due to resource limitations, inconsistent documentation, and differences in clinician decision-</w:t>
      </w:r>
      <w:r w:rsidR="003F13DB" w:rsidRPr="006035C4">
        <w:rPr>
          <w:rFonts w:ascii="PMingLiU" w:eastAsia="PMingLiU" w:hAnsi="PMingLiU"/>
          <w:sz w:val="24"/>
          <w:szCs w:val="24"/>
        </w:rPr>
        <w:t xml:space="preserve">making. </w:t>
      </w:r>
      <w:r w:rsidR="003F13DB" w:rsidRPr="006035C4">
        <w:rPr>
          <w:rFonts w:ascii="Cambria Math" w:eastAsia="PMingLiU" w:hAnsi="Cambria Math" w:cs="Cambria Math"/>
          <w:sz w:val="24"/>
          <w:szCs w:val="24"/>
        </w:rPr>
        <w:t>⁵</w:t>
      </w:r>
    </w:p>
    <w:p w14:paraId="3CCDB6CA" w14:textId="77777777" w:rsidR="006035C4" w:rsidRDefault="006035C4" w:rsidP="007746C3">
      <w:pPr>
        <w:spacing w:after="0" w:line="240" w:lineRule="auto"/>
        <w:jc w:val="both"/>
        <w:rPr>
          <w:rFonts w:ascii="PMingLiU" w:eastAsia="PMingLiU" w:hAnsi="PMingLiU"/>
          <w:sz w:val="24"/>
          <w:szCs w:val="24"/>
        </w:rPr>
      </w:pPr>
    </w:p>
    <w:p w14:paraId="58E61028" w14:textId="7AC6EF0D" w:rsidR="00562339" w:rsidRPr="006035C4" w:rsidRDefault="00562339" w:rsidP="007746C3">
      <w:pPr>
        <w:spacing w:after="0" w:line="240" w:lineRule="auto"/>
        <w:jc w:val="both"/>
        <w:rPr>
          <w:rFonts w:ascii="PMingLiU" w:eastAsia="PMingLiU" w:hAnsi="PMingLiU"/>
          <w:sz w:val="24"/>
          <w:szCs w:val="24"/>
        </w:rPr>
      </w:pPr>
      <w:r w:rsidRPr="006035C4">
        <w:rPr>
          <w:rFonts w:ascii="PMingLiU" w:eastAsia="PMingLiU" w:hAnsi="PMingLiU"/>
          <w:sz w:val="24"/>
          <w:szCs w:val="24"/>
        </w:rPr>
        <w:t>Clinical audit has emerged as a vital quality-improvement tool over the last decade, enabling dialysis centers to evaluate their performance against evidence-based standards and identify areas requiring corrective action.</w:t>
      </w:r>
      <w:r w:rsidRPr="006035C4">
        <w:rPr>
          <w:rFonts w:ascii="Cambria Math" w:eastAsia="PMingLiU" w:hAnsi="Cambria Math" w:cs="Cambria Math"/>
          <w:sz w:val="24"/>
          <w:szCs w:val="24"/>
        </w:rPr>
        <w:t>⁶</w:t>
      </w:r>
      <w:r w:rsidRPr="006035C4">
        <w:rPr>
          <w:rFonts w:ascii="PMingLiU" w:eastAsia="PMingLiU" w:hAnsi="PMingLiU"/>
          <w:sz w:val="24"/>
          <w:szCs w:val="24"/>
        </w:rPr>
        <w:t xml:space="preserve"> Through systematic assessment of key indicators such as screening rates, ESA dose adjustments, iron monitoring, and patient education, audits help bridge the gap between guideline recommendations and real-world practice.</w:t>
      </w:r>
      <w:r w:rsidRPr="006035C4">
        <w:rPr>
          <w:rFonts w:ascii="Cambria Math" w:eastAsia="PMingLiU" w:hAnsi="Cambria Math" w:cs="Cambria Math"/>
          <w:sz w:val="24"/>
          <w:szCs w:val="24"/>
        </w:rPr>
        <w:t>⁷</w:t>
      </w:r>
      <w:r w:rsidRPr="006035C4">
        <w:rPr>
          <w:rFonts w:ascii="PMingLiU" w:eastAsia="PMingLiU" w:hAnsi="PMingLiU"/>
          <w:sz w:val="24"/>
          <w:szCs w:val="24"/>
        </w:rPr>
        <w:t xml:space="preserve"> In resource-constrained settings, where disparities in anemia management are more prominent, regular audits are particularly important for strengthening clinical governance and optimizing patient outcomes.</w:t>
      </w:r>
      <w:r w:rsidRPr="006035C4">
        <w:rPr>
          <w:rFonts w:ascii="Cambria Math" w:eastAsia="PMingLiU" w:hAnsi="Cambria Math" w:cs="Cambria Math"/>
          <w:sz w:val="24"/>
          <w:szCs w:val="24"/>
        </w:rPr>
        <w:t>⁸</w:t>
      </w:r>
    </w:p>
    <w:p w14:paraId="47CB3EEA" w14:textId="77777777" w:rsidR="006035C4" w:rsidRDefault="006035C4" w:rsidP="007746C3">
      <w:pPr>
        <w:spacing w:after="0" w:line="240" w:lineRule="auto"/>
        <w:jc w:val="both"/>
        <w:rPr>
          <w:rFonts w:ascii="PMingLiU" w:eastAsia="PMingLiU" w:hAnsi="PMingLiU"/>
          <w:sz w:val="24"/>
          <w:szCs w:val="24"/>
        </w:rPr>
      </w:pPr>
    </w:p>
    <w:p w14:paraId="543F4D21" w14:textId="3AEA40F8" w:rsidR="00562339" w:rsidRPr="007746C3" w:rsidRDefault="00562339" w:rsidP="007746C3">
      <w:pPr>
        <w:spacing w:after="0" w:line="240" w:lineRule="auto"/>
        <w:jc w:val="both"/>
        <w:rPr>
          <w:rFonts w:asciiTheme="minorBidi" w:eastAsia="Times New Roman" w:hAnsiTheme="minorBidi"/>
          <w:sz w:val="24"/>
          <w:szCs w:val="24"/>
        </w:rPr>
      </w:pPr>
      <w:r w:rsidRPr="006035C4">
        <w:rPr>
          <w:rFonts w:ascii="PMingLiU" w:eastAsia="PMingLiU" w:hAnsi="PMingLiU"/>
          <w:sz w:val="24"/>
          <w:szCs w:val="24"/>
        </w:rPr>
        <w:t xml:space="preserve">In Bangladesh and similar low-middle-income countries, recent studies highlight ongoing gaps in anemia care, including inadequate iron evaluation, inconsistent follow-up, and suboptimal hemoglobin control among MHD </w:t>
      </w:r>
      <w:r w:rsidR="003F13DB" w:rsidRPr="006035C4">
        <w:rPr>
          <w:rFonts w:ascii="PMingLiU" w:eastAsia="PMingLiU" w:hAnsi="PMingLiU"/>
          <w:sz w:val="24"/>
          <w:szCs w:val="24"/>
        </w:rPr>
        <w:t xml:space="preserve">patients. </w:t>
      </w:r>
      <w:r w:rsidR="003F13DB" w:rsidRPr="006035C4">
        <w:rPr>
          <w:rFonts w:ascii="Cambria Math" w:eastAsia="PMingLiU" w:hAnsi="Cambria Math" w:cs="Cambria Math"/>
          <w:sz w:val="24"/>
          <w:szCs w:val="24"/>
        </w:rPr>
        <w:t>⁹</w:t>
      </w:r>
      <w:r w:rsidRPr="006035C4">
        <w:rPr>
          <w:rFonts w:ascii="PMingLiU" w:eastAsia="PMingLiU" w:hAnsi="PMingLiU"/>
          <w:sz w:val="24"/>
          <w:szCs w:val="24"/>
        </w:rPr>
        <w:t xml:space="preserve"> These issues reinforce the need for structured assessment to better understand current practices and guide improvement strategies at the facility level.</w:t>
      </w:r>
      <w:r w:rsidR="00A452A8" w:rsidRPr="006035C4">
        <w:rPr>
          <w:rFonts w:ascii="PMingLiU" w:eastAsia="PMingLiU" w:hAnsi="PMingLiU"/>
          <w:sz w:val="24"/>
          <w:szCs w:val="24"/>
        </w:rPr>
        <w:t xml:space="preserve"> </w:t>
      </w:r>
      <w:r w:rsidRPr="006035C4">
        <w:rPr>
          <w:rFonts w:ascii="PMingLiU" w:eastAsia="PMingLiU" w:hAnsi="PMingLiU"/>
          <w:sz w:val="24"/>
          <w:szCs w:val="24"/>
        </w:rPr>
        <w:t>Therefore, this clinical audit was undertaken to evaluate compliance with key anemia management indicators among patients receiving maintenance hemodialysis, with the primary objective of identifying strengths, deficiencies, and opportunities for enhancing quality of care.</w:t>
      </w:r>
    </w:p>
    <w:p w14:paraId="43779FDA" w14:textId="77777777" w:rsidR="006035C4" w:rsidRDefault="006035C4" w:rsidP="007746C3">
      <w:pPr>
        <w:spacing w:after="0" w:line="240" w:lineRule="auto"/>
        <w:jc w:val="both"/>
        <w:rPr>
          <w:rFonts w:asciiTheme="minorBidi" w:hAnsiTheme="minorBidi"/>
          <w:b/>
          <w:bCs/>
          <w:sz w:val="24"/>
          <w:szCs w:val="24"/>
        </w:rPr>
      </w:pPr>
    </w:p>
    <w:p w14:paraId="6C49346F" w14:textId="5B396229" w:rsidR="00562339" w:rsidRPr="007746C3" w:rsidRDefault="00B85009" w:rsidP="007746C3">
      <w:pPr>
        <w:spacing w:after="0" w:line="240" w:lineRule="auto"/>
        <w:jc w:val="both"/>
        <w:rPr>
          <w:rFonts w:asciiTheme="minorBidi" w:hAnsiTheme="minorBidi"/>
          <w:b/>
          <w:bCs/>
          <w:sz w:val="24"/>
          <w:szCs w:val="24"/>
        </w:rPr>
      </w:pPr>
      <w:r w:rsidRPr="007746C3">
        <w:rPr>
          <w:rFonts w:asciiTheme="minorBidi" w:hAnsiTheme="minorBidi"/>
          <w:b/>
          <w:bCs/>
          <w:sz w:val="24"/>
          <w:szCs w:val="24"/>
        </w:rPr>
        <w:t>Method</w:t>
      </w:r>
      <w:r w:rsidR="003051F2" w:rsidRPr="007746C3">
        <w:rPr>
          <w:rFonts w:asciiTheme="minorBidi" w:hAnsiTheme="minorBidi"/>
          <w:b/>
          <w:bCs/>
          <w:sz w:val="24"/>
          <w:szCs w:val="24"/>
        </w:rPr>
        <w:t>ology</w:t>
      </w:r>
    </w:p>
    <w:p w14:paraId="0EC3D450" w14:textId="5E9B903C" w:rsidR="00627B3D" w:rsidRPr="006035C4" w:rsidRDefault="00627B3D" w:rsidP="007746C3">
      <w:pPr>
        <w:spacing w:after="0" w:line="240" w:lineRule="auto"/>
        <w:jc w:val="both"/>
        <w:rPr>
          <w:rFonts w:ascii="PMingLiU" w:eastAsia="PMingLiU" w:hAnsi="PMingLiU"/>
          <w:sz w:val="24"/>
          <w:szCs w:val="24"/>
        </w:rPr>
      </w:pPr>
      <w:r w:rsidRPr="006035C4">
        <w:rPr>
          <w:rFonts w:ascii="PMingLiU" w:eastAsia="PMingLiU" w:hAnsi="PMingLiU"/>
          <w:sz w:val="24"/>
          <w:szCs w:val="24"/>
        </w:rPr>
        <w:t xml:space="preserve">This study was conducted as a clinical audit using a cross-sectional design in the Hemodialysis Unit </w:t>
      </w:r>
      <w:r w:rsidR="00957E9B" w:rsidRPr="006035C4">
        <w:rPr>
          <w:rFonts w:ascii="PMingLiU" w:eastAsia="PMingLiU" w:hAnsi="PMingLiU"/>
          <w:sz w:val="24"/>
          <w:szCs w:val="24"/>
        </w:rPr>
        <w:t xml:space="preserve">at </w:t>
      </w:r>
      <w:r w:rsidR="006035C4" w:rsidRPr="006035C4">
        <w:rPr>
          <w:rFonts w:ascii="PMingLiU" w:eastAsia="PMingLiU" w:hAnsi="PMingLiU"/>
          <w:sz w:val="24"/>
          <w:szCs w:val="24"/>
        </w:rPr>
        <w:t>Evercare Hospital Dhaka</w:t>
      </w:r>
      <w:r w:rsidRPr="006035C4">
        <w:rPr>
          <w:rFonts w:ascii="PMingLiU" w:eastAsia="PMingLiU" w:hAnsi="PMingLiU"/>
          <w:sz w:val="24"/>
          <w:szCs w:val="24"/>
        </w:rPr>
        <w:t>, a tertiary-level center providing maintenance hemodialysis (MHD) services to patients with end-stage renal disease (ESRD). The audit was carried out over a defined period, during which all available patient records were reviewed.</w:t>
      </w:r>
      <w:r w:rsidR="003051F2" w:rsidRPr="006035C4">
        <w:rPr>
          <w:rFonts w:ascii="PMingLiU" w:eastAsia="PMingLiU" w:hAnsi="PMingLiU"/>
          <w:sz w:val="24"/>
          <w:szCs w:val="24"/>
        </w:rPr>
        <w:t xml:space="preserve"> </w:t>
      </w:r>
      <w:r w:rsidRPr="006035C4">
        <w:rPr>
          <w:rFonts w:ascii="PMingLiU" w:eastAsia="PMingLiU" w:hAnsi="PMingLiU"/>
          <w:sz w:val="24"/>
          <w:szCs w:val="24"/>
        </w:rPr>
        <w:t>The study population consisted of 62 adult ESRD patients undergoing maintenance hemodialysis for at least three months. Patients were included if their medical records contained complete documentation of anemia management indicators during the audit period. Individuals on temporary dialysis, those newly initiated (&lt;3 months) on MHD, and patients with incomplete or missing data were excluded to ensure accuracy and consistency of the audit.</w:t>
      </w:r>
    </w:p>
    <w:p w14:paraId="44F91848" w14:textId="77777777" w:rsidR="006035C4" w:rsidRDefault="006035C4" w:rsidP="007746C3">
      <w:pPr>
        <w:spacing w:after="0" w:line="240" w:lineRule="auto"/>
        <w:jc w:val="both"/>
        <w:outlineLvl w:val="1"/>
        <w:rPr>
          <w:rFonts w:ascii="PMingLiU" w:eastAsia="PMingLiU" w:hAnsi="PMingLiU"/>
          <w:sz w:val="24"/>
          <w:szCs w:val="24"/>
        </w:rPr>
      </w:pPr>
    </w:p>
    <w:p w14:paraId="04444C2B" w14:textId="74817C60" w:rsidR="003051F2" w:rsidRPr="006035C4" w:rsidRDefault="003051F2" w:rsidP="007746C3">
      <w:pPr>
        <w:spacing w:after="0" w:line="240" w:lineRule="auto"/>
        <w:jc w:val="both"/>
        <w:outlineLvl w:val="1"/>
        <w:rPr>
          <w:rFonts w:ascii="PMingLiU" w:eastAsia="PMingLiU" w:hAnsi="PMingLiU"/>
          <w:sz w:val="24"/>
          <w:szCs w:val="24"/>
        </w:rPr>
      </w:pPr>
      <w:r w:rsidRPr="006035C4">
        <w:rPr>
          <w:rFonts w:ascii="PMingLiU" w:eastAsia="PMingLiU" w:hAnsi="PMingLiU"/>
          <w:sz w:val="24"/>
          <w:szCs w:val="24"/>
        </w:rPr>
        <w:t xml:space="preserve">Data were collected </w:t>
      </w:r>
      <w:r w:rsidR="00D12E6D">
        <w:rPr>
          <w:rFonts w:ascii="PMingLiU" w:eastAsia="PMingLiU" w:hAnsi="PMingLiU"/>
          <w:sz w:val="24"/>
          <w:szCs w:val="24"/>
        </w:rPr>
        <w:t xml:space="preserve">after IRB approval letter number: ERC-79/2025-17 dated 29-12-2025, </w:t>
      </w:r>
      <w:r w:rsidRPr="006035C4">
        <w:rPr>
          <w:rFonts w:ascii="PMingLiU" w:eastAsia="PMingLiU" w:hAnsi="PMingLiU"/>
          <w:sz w:val="24"/>
          <w:szCs w:val="24"/>
        </w:rPr>
        <w:t>using a structured audit checklist developed according to the KDIGO 2021 anemia management guidelines. Relevant information was extracted from dialysis treatment sheets, laboratory databases, medication charts, and patient education records. The audit assessed eight key indicators: anemia screening, iron status documentation, correction of iron deficiency before ESA initiation, hemoglobin monitoring 2–</w:t>
      </w:r>
      <w:r w:rsidRPr="006035C4">
        <w:rPr>
          <w:rFonts w:ascii="PMingLiU" w:eastAsia="PMingLiU" w:hAnsi="PMingLiU"/>
          <w:sz w:val="24"/>
          <w:szCs w:val="24"/>
        </w:rPr>
        <w:lastRenderedPageBreak/>
        <w:t>4 weeks after ESA therapy, maintenance of hemoglobin within KDIGO targets, iron profile monitoring every three months, appropriateness of ESA dose adjustment, and completion of patient education. Both male and female patients were analyzed separately to identify differences in compliance patterns.</w:t>
      </w:r>
    </w:p>
    <w:p w14:paraId="651F51D0" w14:textId="23255CD2" w:rsidR="00627B3D" w:rsidRPr="006035C4" w:rsidRDefault="00627B3D" w:rsidP="007746C3">
      <w:pPr>
        <w:spacing w:after="0" w:line="240" w:lineRule="auto"/>
        <w:jc w:val="both"/>
        <w:outlineLvl w:val="1"/>
        <w:rPr>
          <w:rFonts w:ascii="PMingLiU" w:eastAsia="PMingLiU" w:hAnsi="PMingLiU"/>
          <w:b/>
          <w:bCs/>
          <w:sz w:val="24"/>
          <w:szCs w:val="24"/>
        </w:rPr>
      </w:pPr>
      <w:r w:rsidRPr="006035C4">
        <w:rPr>
          <w:rFonts w:ascii="PMingLiU" w:eastAsia="PMingLiU" w:hAnsi="PMingLiU"/>
          <w:b/>
          <w:bCs/>
          <w:sz w:val="24"/>
          <w:szCs w:val="24"/>
        </w:rPr>
        <w:t>Data Analysis</w:t>
      </w:r>
    </w:p>
    <w:p w14:paraId="7D927372" w14:textId="77777777" w:rsidR="00627B3D" w:rsidRPr="006035C4" w:rsidRDefault="00627B3D" w:rsidP="007746C3">
      <w:pPr>
        <w:spacing w:after="0" w:line="240" w:lineRule="auto"/>
        <w:jc w:val="both"/>
        <w:rPr>
          <w:rFonts w:ascii="PMingLiU" w:eastAsia="PMingLiU" w:hAnsi="PMingLiU"/>
          <w:sz w:val="24"/>
          <w:szCs w:val="24"/>
        </w:rPr>
      </w:pPr>
      <w:r w:rsidRPr="006035C4">
        <w:rPr>
          <w:rFonts w:ascii="PMingLiU" w:eastAsia="PMingLiU" w:hAnsi="PMingLiU"/>
          <w:sz w:val="24"/>
          <w:szCs w:val="24"/>
        </w:rPr>
        <w:t>Data were entered into a structured dataset and analyzed descriptively. Compliance with each indicator was expressed as frequencies and percentages. Correlation analyses were performed to evaluate the relationship between ESA dose adjustments, hemoglobin maintenance, iron monitoring, and other anemia management indicators. Findings were compared with established audit standards to identify strengths and quality gaps.</w:t>
      </w:r>
    </w:p>
    <w:p w14:paraId="574DC224" w14:textId="77777777" w:rsidR="004453BD" w:rsidRPr="006035C4" w:rsidRDefault="004453BD" w:rsidP="007746C3">
      <w:pPr>
        <w:spacing w:after="0" w:line="240" w:lineRule="auto"/>
        <w:jc w:val="both"/>
        <w:rPr>
          <w:rFonts w:ascii="PMingLiU" w:eastAsia="PMingLiU" w:hAnsi="PMingLiU"/>
          <w:sz w:val="10"/>
          <w:szCs w:val="10"/>
        </w:rPr>
      </w:pPr>
    </w:p>
    <w:p w14:paraId="66ED0C04" w14:textId="27E90EFA" w:rsidR="007C26E0" w:rsidRPr="007746C3" w:rsidRDefault="006035C4" w:rsidP="007746C3">
      <w:pPr>
        <w:spacing w:after="0" w:line="240" w:lineRule="auto"/>
        <w:jc w:val="both"/>
        <w:rPr>
          <w:rFonts w:asciiTheme="minorBidi" w:hAnsiTheme="minorBidi"/>
          <w:b/>
          <w:bCs/>
          <w:sz w:val="24"/>
          <w:szCs w:val="24"/>
        </w:rPr>
      </w:pPr>
      <w:r>
        <w:rPr>
          <w:rFonts w:asciiTheme="minorBidi" w:hAnsiTheme="minorBidi"/>
          <w:b/>
          <w:bCs/>
          <w:sz w:val="24"/>
          <w:szCs w:val="24"/>
        </w:rPr>
        <w:t>R</w:t>
      </w:r>
      <w:r w:rsidR="00A77BF5" w:rsidRPr="007746C3">
        <w:rPr>
          <w:rFonts w:asciiTheme="minorBidi" w:hAnsiTheme="minorBidi"/>
          <w:b/>
          <w:bCs/>
          <w:sz w:val="24"/>
          <w:szCs w:val="24"/>
        </w:rPr>
        <w:t>esult:</w:t>
      </w:r>
    </w:p>
    <w:p w14:paraId="7023FB62" w14:textId="5C686DE3" w:rsidR="00CD7160" w:rsidRPr="006035C4" w:rsidRDefault="00CD7160" w:rsidP="007746C3">
      <w:pPr>
        <w:spacing w:after="0" w:line="240" w:lineRule="auto"/>
        <w:jc w:val="both"/>
        <w:rPr>
          <w:rFonts w:ascii="PMingLiU" w:eastAsia="PMingLiU" w:hAnsi="PMingLiU"/>
          <w:sz w:val="24"/>
          <w:szCs w:val="24"/>
        </w:rPr>
      </w:pPr>
      <w:r w:rsidRPr="006035C4">
        <w:rPr>
          <w:rFonts w:ascii="PMingLiU" w:eastAsia="PMingLiU" w:hAnsi="PMingLiU"/>
          <w:sz w:val="24"/>
          <w:szCs w:val="24"/>
        </w:rPr>
        <w:t>Figure 1 shows distribution of respondents according to gender. Male patients accounted for 56.45% and females 43.55%, indicating a slightly higher proportion of men undergoing MHD. This gender pattern aligns with global ESRD trends.</w:t>
      </w:r>
    </w:p>
    <w:p w14:paraId="308AD391" w14:textId="4B36E6EF" w:rsidR="0056215A" w:rsidRPr="007746C3" w:rsidRDefault="0056215A" w:rsidP="007746C3">
      <w:pPr>
        <w:spacing w:after="0" w:line="240" w:lineRule="auto"/>
        <w:jc w:val="center"/>
        <w:rPr>
          <w:rFonts w:asciiTheme="minorBidi" w:hAnsiTheme="minorBidi"/>
          <w:sz w:val="24"/>
          <w:szCs w:val="24"/>
        </w:rPr>
      </w:pPr>
    </w:p>
    <w:p w14:paraId="1EBF99EE" w14:textId="2C86888A" w:rsidR="007C26E0" w:rsidRDefault="007C26E0" w:rsidP="006035C4">
      <w:pPr>
        <w:spacing w:after="0" w:line="240" w:lineRule="auto"/>
        <w:rPr>
          <w:rFonts w:asciiTheme="minorBidi" w:hAnsiTheme="minorBidi"/>
          <w:b/>
          <w:bCs/>
          <w:sz w:val="20"/>
          <w:szCs w:val="20"/>
        </w:rPr>
      </w:pPr>
      <w:r w:rsidRPr="006035C4">
        <w:rPr>
          <w:rFonts w:asciiTheme="minorBidi" w:hAnsiTheme="minorBidi"/>
          <w:b/>
          <w:bCs/>
          <w:sz w:val="20"/>
          <w:szCs w:val="20"/>
        </w:rPr>
        <w:t xml:space="preserve">Figure 1: Distribution of respondents according to </w:t>
      </w:r>
      <w:r w:rsidR="009212A6" w:rsidRPr="006035C4">
        <w:rPr>
          <w:rFonts w:asciiTheme="minorBidi" w:hAnsiTheme="minorBidi"/>
          <w:b/>
          <w:bCs/>
          <w:sz w:val="20"/>
          <w:szCs w:val="20"/>
        </w:rPr>
        <w:t>g</w:t>
      </w:r>
      <w:r w:rsidRPr="006035C4">
        <w:rPr>
          <w:rFonts w:asciiTheme="minorBidi" w:hAnsiTheme="minorBidi"/>
          <w:b/>
          <w:bCs/>
          <w:sz w:val="20"/>
          <w:szCs w:val="20"/>
        </w:rPr>
        <w:t>ender (n=62)</w:t>
      </w:r>
    </w:p>
    <w:p w14:paraId="2E899B65" w14:textId="6A78E3F0" w:rsidR="006035C4" w:rsidRPr="006035C4" w:rsidRDefault="006035C4" w:rsidP="006035C4">
      <w:pPr>
        <w:spacing w:after="0" w:line="240" w:lineRule="auto"/>
        <w:rPr>
          <w:rFonts w:asciiTheme="minorBidi" w:hAnsiTheme="minorBidi"/>
          <w:b/>
          <w:bCs/>
          <w:sz w:val="20"/>
          <w:szCs w:val="20"/>
        </w:rPr>
      </w:pPr>
      <w:r w:rsidRPr="006035C4">
        <w:rPr>
          <w:rFonts w:asciiTheme="minorBidi" w:hAnsiTheme="minorBidi"/>
          <w:b/>
          <w:bCs/>
          <w:noProof/>
          <w:sz w:val="20"/>
          <w:szCs w:val="20"/>
        </w:rPr>
        <w:drawing>
          <wp:inline distT="0" distB="0" distL="0" distR="0" wp14:anchorId="3ACD5763" wp14:editId="26E891DF">
            <wp:extent cx="2229267" cy="2074252"/>
            <wp:effectExtent l="0" t="0" r="6350" b="0"/>
            <wp:docPr id="920517546" name="Picture 1" descr="A blue and orange pie char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517546" name="Picture 1" descr="A blue and orange pie chart with text&#10;&#10;AI-generated content may be incorrect."/>
                    <pic:cNvPicPr/>
                  </pic:nvPicPr>
                  <pic:blipFill>
                    <a:blip r:embed="rId8"/>
                    <a:stretch>
                      <a:fillRect/>
                    </a:stretch>
                  </pic:blipFill>
                  <pic:spPr>
                    <a:xfrm>
                      <a:off x="0" y="0"/>
                      <a:ext cx="2279829" cy="2121299"/>
                    </a:xfrm>
                    <a:prstGeom prst="rect">
                      <a:avLst/>
                    </a:prstGeom>
                  </pic:spPr>
                </pic:pic>
              </a:graphicData>
            </a:graphic>
          </wp:inline>
        </w:drawing>
      </w:r>
    </w:p>
    <w:p w14:paraId="0B9A8EF0" w14:textId="77777777" w:rsidR="007C26E0" w:rsidRPr="007746C3" w:rsidRDefault="007C26E0" w:rsidP="007746C3">
      <w:pPr>
        <w:pStyle w:val="NormalWeb"/>
        <w:spacing w:before="0" w:beforeAutospacing="0" w:after="0" w:afterAutospacing="0"/>
        <w:rPr>
          <w:rFonts w:asciiTheme="minorBidi" w:eastAsia="+mn-ea" w:hAnsiTheme="minorBidi" w:cstheme="minorBidi"/>
          <w:color w:val="000000"/>
          <w:kern w:val="24"/>
          <w:lang w:val="en-GB"/>
        </w:rPr>
      </w:pPr>
    </w:p>
    <w:p w14:paraId="6B26FFE1" w14:textId="0724195A" w:rsidR="00CC16A6" w:rsidRPr="006035C4" w:rsidRDefault="00B60760" w:rsidP="007746C3">
      <w:pPr>
        <w:pStyle w:val="NormalWeb"/>
        <w:spacing w:before="0" w:beforeAutospacing="0" w:after="0" w:afterAutospacing="0"/>
        <w:jc w:val="both"/>
        <w:rPr>
          <w:rFonts w:ascii="PMingLiU" w:eastAsia="PMingLiU" w:hAnsi="PMingLiU" w:cstheme="minorBidi"/>
        </w:rPr>
      </w:pPr>
      <w:r w:rsidRPr="006035C4">
        <w:rPr>
          <w:rFonts w:ascii="PMingLiU" w:eastAsia="PMingLiU" w:hAnsi="PMingLiU" w:cstheme="minorBidi"/>
          <w:color w:val="000000"/>
          <w:kern w:val="24"/>
          <w:lang w:val="en-GB"/>
        </w:rPr>
        <w:t xml:space="preserve">Figure 2 shows the distribution of patients according to age group. Majority of patients (69.35%) were aged </w:t>
      </w:r>
      <w:r w:rsidRPr="006035C4">
        <w:rPr>
          <w:rFonts w:ascii="Cambria Math" w:eastAsia="PMingLiU" w:hAnsi="Cambria Math" w:cs="Cambria Math"/>
          <w:color w:val="000000"/>
          <w:kern w:val="24"/>
          <w:lang w:val="en-GB"/>
        </w:rPr>
        <w:t>≥</w:t>
      </w:r>
      <w:r w:rsidRPr="006035C4">
        <w:rPr>
          <w:rFonts w:ascii="PMingLiU" w:eastAsia="PMingLiU" w:hAnsi="PMingLiU" w:cstheme="minorBidi"/>
          <w:color w:val="000000"/>
          <w:kern w:val="24"/>
          <w:lang w:val="en-GB"/>
        </w:rPr>
        <w:t xml:space="preserve">60 years, indicating that older adults form the predominant group undergoing MHD. </w:t>
      </w:r>
    </w:p>
    <w:p w14:paraId="151559D1" w14:textId="6F237380" w:rsidR="00CC16A6" w:rsidRPr="007746C3" w:rsidRDefault="00CC16A6" w:rsidP="007746C3">
      <w:pPr>
        <w:pStyle w:val="NormalWeb"/>
        <w:spacing w:before="0" w:beforeAutospacing="0" w:after="0" w:afterAutospacing="0"/>
        <w:ind w:left="1080" w:hanging="360"/>
        <w:rPr>
          <w:rFonts w:asciiTheme="minorBidi" w:eastAsia="+mn-ea" w:hAnsiTheme="minorBidi" w:cstheme="minorBidi"/>
          <w:color w:val="000000"/>
          <w:kern w:val="24"/>
          <w:lang w:val="en-GB"/>
        </w:rPr>
      </w:pPr>
    </w:p>
    <w:p w14:paraId="2089C6F2" w14:textId="78241147" w:rsidR="00B60760" w:rsidRDefault="00B60760" w:rsidP="006035C4">
      <w:pPr>
        <w:pStyle w:val="NormalWeb"/>
        <w:spacing w:before="0" w:beforeAutospacing="0" w:after="0" w:afterAutospacing="0"/>
        <w:ind w:left="360" w:hanging="360"/>
        <w:rPr>
          <w:rFonts w:asciiTheme="minorBidi" w:eastAsia="+mn-ea" w:hAnsiTheme="minorBidi" w:cstheme="minorBidi"/>
          <w:b/>
          <w:bCs/>
          <w:color w:val="000000"/>
          <w:kern w:val="24"/>
          <w:sz w:val="20"/>
          <w:szCs w:val="20"/>
          <w:lang w:val="en-GB"/>
        </w:rPr>
      </w:pPr>
      <w:r w:rsidRPr="006035C4">
        <w:rPr>
          <w:rFonts w:asciiTheme="minorBidi" w:eastAsia="+mn-ea" w:hAnsiTheme="minorBidi" w:cstheme="minorBidi"/>
          <w:b/>
          <w:bCs/>
          <w:color w:val="000000"/>
          <w:kern w:val="24"/>
          <w:sz w:val="20"/>
          <w:szCs w:val="20"/>
          <w:lang w:val="en-GB"/>
        </w:rPr>
        <w:t xml:space="preserve">Figure 2: Distribution of </w:t>
      </w:r>
      <w:r w:rsidR="009212A6" w:rsidRPr="006035C4">
        <w:rPr>
          <w:rFonts w:asciiTheme="minorBidi" w:eastAsia="+mn-ea" w:hAnsiTheme="minorBidi" w:cstheme="minorBidi"/>
          <w:b/>
          <w:bCs/>
          <w:color w:val="000000"/>
          <w:kern w:val="24"/>
          <w:sz w:val="20"/>
          <w:szCs w:val="20"/>
          <w:lang w:val="en-GB"/>
        </w:rPr>
        <w:t>p</w:t>
      </w:r>
      <w:r w:rsidRPr="006035C4">
        <w:rPr>
          <w:rFonts w:asciiTheme="minorBidi" w:eastAsia="+mn-ea" w:hAnsiTheme="minorBidi" w:cstheme="minorBidi"/>
          <w:b/>
          <w:bCs/>
          <w:color w:val="000000"/>
          <w:kern w:val="24"/>
          <w:sz w:val="20"/>
          <w:szCs w:val="20"/>
          <w:lang w:val="en-GB"/>
        </w:rPr>
        <w:t>atients according to age group</w:t>
      </w:r>
      <w:r w:rsidR="009212A6" w:rsidRPr="006035C4">
        <w:rPr>
          <w:rFonts w:asciiTheme="minorBidi" w:eastAsia="+mn-ea" w:hAnsiTheme="minorBidi" w:cstheme="minorBidi"/>
          <w:b/>
          <w:bCs/>
          <w:color w:val="000000"/>
          <w:kern w:val="24"/>
          <w:sz w:val="20"/>
          <w:szCs w:val="20"/>
          <w:lang w:val="en-GB"/>
        </w:rPr>
        <w:t xml:space="preserve"> (n=62)</w:t>
      </w:r>
    </w:p>
    <w:p w14:paraId="478FEBCF" w14:textId="4915AC3F" w:rsidR="006035C4" w:rsidRPr="006035C4" w:rsidRDefault="006035C4" w:rsidP="006035C4">
      <w:pPr>
        <w:pStyle w:val="NormalWeb"/>
        <w:spacing w:before="0" w:beforeAutospacing="0" w:after="0" w:afterAutospacing="0"/>
        <w:ind w:left="360" w:hanging="360"/>
        <w:rPr>
          <w:rFonts w:asciiTheme="minorBidi" w:hAnsiTheme="minorBidi" w:cstheme="minorBidi"/>
          <w:sz w:val="20"/>
          <w:szCs w:val="20"/>
        </w:rPr>
      </w:pPr>
      <w:r w:rsidRPr="006035C4">
        <w:rPr>
          <w:rFonts w:asciiTheme="minorBidi" w:hAnsiTheme="minorBidi" w:cstheme="minorBidi"/>
          <w:noProof/>
          <w:sz w:val="20"/>
          <w:szCs w:val="20"/>
        </w:rPr>
        <w:drawing>
          <wp:inline distT="0" distB="0" distL="0" distR="0" wp14:anchorId="5F7DDB7B" wp14:editId="1EA7110D">
            <wp:extent cx="3782190" cy="2002336"/>
            <wp:effectExtent l="0" t="0" r="2540" b="4445"/>
            <wp:docPr id="834739755" name="Picture 1" descr="A graph of age groups distribu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739755" name="Picture 1" descr="A graph of age groups distribution&#10;&#10;AI-generated content may be incorrect."/>
                    <pic:cNvPicPr/>
                  </pic:nvPicPr>
                  <pic:blipFill>
                    <a:blip r:embed="rId9"/>
                    <a:stretch>
                      <a:fillRect/>
                    </a:stretch>
                  </pic:blipFill>
                  <pic:spPr>
                    <a:xfrm>
                      <a:off x="0" y="0"/>
                      <a:ext cx="3816042" cy="2020258"/>
                    </a:xfrm>
                    <a:prstGeom prst="rect">
                      <a:avLst/>
                    </a:prstGeom>
                  </pic:spPr>
                </pic:pic>
              </a:graphicData>
            </a:graphic>
          </wp:inline>
        </w:drawing>
      </w:r>
    </w:p>
    <w:p w14:paraId="7C44BA32" w14:textId="77777777" w:rsidR="000574B2" w:rsidRPr="007746C3" w:rsidRDefault="000574B2" w:rsidP="007746C3">
      <w:pPr>
        <w:spacing w:after="0" w:line="240" w:lineRule="auto"/>
        <w:jc w:val="both"/>
        <w:rPr>
          <w:rFonts w:asciiTheme="minorBidi" w:hAnsiTheme="minorBidi"/>
          <w:sz w:val="24"/>
          <w:szCs w:val="24"/>
        </w:rPr>
      </w:pPr>
    </w:p>
    <w:p w14:paraId="7B25CE7A" w14:textId="73A80E7E" w:rsidR="00B60760" w:rsidRPr="006035C4" w:rsidRDefault="000574B2" w:rsidP="007746C3">
      <w:pPr>
        <w:spacing w:after="0" w:line="240" w:lineRule="auto"/>
        <w:jc w:val="both"/>
        <w:rPr>
          <w:rFonts w:ascii="PMingLiU" w:eastAsia="PMingLiU" w:hAnsi="PMingLiU"/>
          <w:sz w:val="24"/>
          <w:szCs w:val="24"/>
        </w:rPr>
      </w:pPr>
      <w:r w:rsidRPr="006035C4">
        <w:rPr>
          <w:rFonts w:ascii="PMingLiU" w:eastAsia="PMingLiU" w:hAnsi="PMingLiU"/>
          <w:sz w:val="24"/>
          <w:szCs w:val="24"/>
        </w:rPr>
        <w:lastRenderedPageBreak/>
        <w:t>Table 1 illustrates distribution of patients according to patient’s compliance. High compliance (82–100%) was observed in screening, ESA dosing, post-ESA hemoglobin monitoring, and patient education, indicating strong adherence to core anemia management processes. Hemoglobin maintenance showed moderate compliance (62.9%), while iron documentation and monitoring remained low (8–35%).</w:t>
      </w:r>
    </w:p>
    <w:p w14:paraId="11768E89" w14:textId="77777777" w:rsidR="006035C4" w:rsidRDefault="006035C4" w:rsidP="007746C3">
      <w:pPr>
        <w:spacing w:after="0" w:line="240" w:lineRule="auto"/>
        <w:jc w:val="both"/>
        <w:rPr>
          <w:rFonts w:asciiTheme="minorBidi" w:hAnsiTheme="minorBidi"/>
          <w:b/>
          <w:bCs/>
          <w:sz w:val="24"/>
          <w:szCs w:val="24"/>
        </w:rPr>
      </w:pPr>
    </w:p>
    <w:p w14:paraId="1BB69412" w14:textId="4260AA6A" w:rsidR="004E230B" w:rsidRPr="006035C4" w:rsidRDefault="004E230B" w:rsidP="007746C3">
      <w:pPr>
        <w:spacing w:after="0" w:line="240" w:lineRule="auto"/>
        <w:jc w:val="both"/>
        <w:rPr>
          <w:rFonts w:asciiTheme="minorBidi" w:hAnsiTheme="minorBidi"/>
          <w:b/>
          <w:bCs/>
          <w:sz w:val="20"/>
          <w:szCs w:val="20"/>
        </w:rPr>
      </w:pPr>
      <w:r w:rsidRPr="006035C4">
        <w:rPr>
          <w:rFonts w:asciiTheme="minorBidi" w:hAnsiTheme="minorBidi"/>
          <w:b/>
          <w:bCs/>
          <w:sz w:val="20"/>
          <w:szCs w:val="20"/>
        </w:rPr>
        <w:t>Table</w:t>
      </w:r>
      <w:r w:rsidR="00FC00A9" w:rsidRPr="006035C4">
        <w:rPr>
          <w:rFonts w:asciiTheme="minorBidi" w:hAnsiTheme="minorBidi"/>
          <w:b/>
          <w:bCs/>
          <w:sz w:val="20"/>
          <w:szCs w:val="20"/>
        </w:rPr>
        <w:t xml:space="preserve"> </w:t>
      </w:r>
      <w:r w:rsidR="00B60760" w:rsidRPr="006035C4">
        <w:rPr>
          <w:rFonts w:asciiTheme="minorBidi" w:hAnsiTheme="minorBidi"/>
          <w:b/>
          <w:bCs/>
          <w:sz w:val="20"/>
          <w:szCs w:val="20"/>
        </w:rPr>
        <w:t>1</w:t>
      </w:r>
      <w:r w:rsidRPr="006035C4">
        <w:rPr>
          <w:rFonts w:asciiTheme="minorBidi" w:hAnsiTheme="minorBidi"/>
          <w:b/>
          <w:bCs/>
          <w:sz w:val="20"/>
          <w:szCs w:val="20"/>
        </w:rPr>
        <w:t>: Distribution of patients according to patient’s compliance (n=62)</w:t>
      </w:r>
    </w:p>
    <w:p w14:paraId="13F5CE24" w14:textId="77777777" w:rsidR="006035C4" w:rsidRPr="007746C3" w:rsidRDefault="006035C4" w:rsidP="007746C3">
      <w:pPr>
        <w:spacing w:after="0" w:line="240" w:lineRule="auto"/>
        <w:jc w:val="both"/>
        <w:rPr>
          <w:rFonts w:asciiTheme="minorBidi" w:hAnsiTheme="minorBidi"/>
          <w:b/>
          <w:bCs/>
          <w:sz w:val="24"/>
          <w:szCs w:val="24"/>
        </w:rPr>
      </w:pPr>
    </w:p>
    <w:tbl>
      <w:tblPr>
        <w:tblStyle w:val="TableGridLight"/>
        <w:tblW w:w="7083" w:type="dxa"/>
        <w:tblLook w:val="04A0" w:firstRow="1" w:lastRow="0" w:firstColumn="1" w:lastColumn="0" w:noHBand="0" w:noVBand="1"/>
      </w:tblPr>
      <w:tblGrid>
        <w:gridCol w:w="1129"/>
        <w:gridCol w:w="4678"/>
        <w:gridCol w:w="1276"/>
      </w:tblGrid>
      <w:tr w:rsidR="00A40B8A" w:rsidRPr="006035C4" w14:paraId="3C991957" w14:textId="77777777" w:rsidTr="006035C4">
        <w:trPr>
          <w:trHeight w:val="569"/>
        </w:trPr>
        <w:tc>
          <w:tcPr>
            <w:tcW w:w="1129" w:type="dxa"/>
            <w:hideMark/>
          </w:tcPr>
          <w:p w14:paraId="3F9C970E" w14:textId="77777777" w:rsidR="00A40B8A" w:rsidRPr="006035C4" w:rsidRDefault="00A40B8A" w:rsidP="006035C4">
            <w:pPr>
              <w:rPr>
                <w:rFonts w:eastAsia="Times New Roman" w:cstheme="minorHAnsi"/>
                <w:b/>
                <w:bCs/>
                <w:sz w:val="20"/>
                <w:szCs w:val="20"/>
              </w:rPr>
            </w:pPr>
            <w:r w:rsidRPr="006035C4">
              <w:rPr>
                <w:rFonts w:eastAsia="Times New Roman" w:cstheme="minorHAnsi"/>
                <w:b/>
                <w:bCs/>
                <w:sz w:val="20"/>
                <w:szCs w:val="20"/>
              </w:rPr>
              <w:t>Category</w:t>
            </w:r>
          </w:p>
        </w:tc>
        <w:tc>
          <w:tcPr>
            <w:tcW w:w="4678" w:type="dxa"/>
            <w:hideMark/>
          </w:tcPr>
          <w:p w14:paraId="755BD9D6" w14:textId="77777777" w:rsidR="00A40B8A" w:rsidRPr="006035C4" w:rsidRDefault="00A40B8A" w:rsidP="007746C3">
            <w:pPr>
              <w:jc w:val="center"/>
              <w:rPr>
                <w:rFonts w:eastAsia="Times New Roman" w:cstheme="minorHAnsi"/>
                <w:b/>
                <w:bCs/>
                <w:sz w:val="20"/>
                <w:szCs w:val="20"/>
              </w:rPr>
            </w:pPr>
            <w:r w:rsidRPr="006035C4">
              <w:rPr>
                <w:rFonts w:eastAsia="Times New Roman" w:cstheme="minorHAnsi"/>
                <w:b/>
                <w:bCs/>
                <w:sz w:val="20"/>
                <w:szCs w:val="20"/>
              </w:rPr>
              <w:t>Area</w:t>
            </w:r>
          </w:p>
        </w:tc>
        <w:tc>
          <w:tcPr>
            <w:tcW w:w="1276" w:type="dxa"/>
            <w:hideMark/>
          </w:tcPr>
          <w:p w14:paraId="5FC0DA34" w14:textId="77777777" w:rsidR="00A40B8A" w:rsidRPr="006035C4" w:rsidRDefault="00A40B8A" w:rsidP="007746C3">
            <w:pPr>
              <w:jc w:val="center"/>
              <w:rPr>
                <w:rFonts w:eastAsia="Times New Roman" w:cstheme="minorHAnsi"/>
                <w:b/>
                <w:bCs/>
                <w:sz w:val="20"/>
                <w:szCs w:val="20"/>
              </w:rPr>
            </w:pPr>
            <w:r w:rsidRPr="006035C4">
              <w:rPr>
                <w:rFonts w:eastAsia="Times New Roman" w:cstheme="minorHAnsi"/>
                <w:b/>
                <w:bCs/>
                <w:sz w:val="20"/>
                <w:szCs w:val="20"/>
              </w:rPr>
              <w:t>Compliance</w:t>
            </w:r>
          </w:p>
        </w:tc>
      </w:tr>
      <w:tr w:rsidR="00A40B8A" w:rsidRPr="006035C4" w14:paraId="19B3B87D" w14:textId="77777777" w:rsidTr="006035C4">
        <w:trPr>
          <w:trHeight w:val="590"/>
        </w:trPr>
        <w:tc>
          <w:tcPr>
            <w:tcW w:w="1129" w:type="dxa"/>
            <w:hideMark/>
          </w:tcPr>
          <w:p w14:paraId="586DF5BF" w14:textId="77777777" w:rsidR="00A40B8A" w:rsidRPr="006035C4" w:rsidRDefault="00A40B8A" w:rsidP="006035C4">
            <w:pPr>
              <w:rPr>
                <w:rFonts w:eastAsia="Times New Roman" w:cstheme="minorHAnsi"/>
                <w:sz w:val="20"/>
                <w:szCs w:val="20"/>
              </w:rPr>
            </w:pPr>
            <w:r w:rsidRPr="006035C4">
              <w:rPr>
                <w:rFonts w:eastAsia="Times New Roman" w:cstheme="minorHAnsi"/>
                <w:b/>
                <w:bCs/>
                <w:sz w:val="20"/>
                <w:szCs w:val="20"/>
              </w:rPr>
              <w:t>High</w:t>
            </w:r>
          </w:p>
        </w:tc>
        <w:tc>
          <w:tcPr>
            <w:tcW w:w="4678" w:type="dxa"/>
            <w:hideMark/>
          </w:tcPr>
          <w:p w14:paraId="0D7983BF" w14:textId="77777777" w:rsidR="00A40B8A" w:rsidRPr="006035C4" w:rsidRDefault="00A40B8A" w:rsidP="007746C3">
            <w:pPr>
              <w:jc w:val="center"/>
              <w:rPr>
                <w:rFonts w:eastAsia="Times New Roman" w:cstheme="minorHAnsi"/>
                <w:sz w:val="20"/>
                <w:szCs w:val="20"/>
              </w:rPr>
            </w:pPr>
            <w:r w:rsidRPr="006035C4">
              <w:rPr>
                <w:rFonts w:eastAsia="Times New Roman" w:cstheme="minorHAnsi"/>
                <w:sz w:val="20"/>
                <w:szCs w:val="20"/>
              </w:rPr>
              <w:t>Screening, ESA dosing, Hb post-ESA, Education</w:t>
            </w:r>
          </w:p>
        </w:tc>
        <w:tc>
          <w:tcPr>
            <w:tcW w:w="1276" w:type="dxa"/>
            <w:hideMark/>
          </w:tcPr>
          <w:p w14:paraId="09BFE452" w14:textId="77777777" w:rsidR="00A40B8A" w:rsidRPr="006035C4" w:rsidRDefault="00A40B8A" w:rsidP="007746C3">
            <w:pPr>
              <w:jc w:val="center"/>
              <w:rPr>
                <w:rFonts w:eastAsia="Times New Roman" w:cstheme="minorHAnsi"/>
                <w:sz w:val="20"/>
                <w:szCs w:val="20"/>
              </w:rPr>
            </w:pPr>
            <w:r w:rsidRPr="006035C4">
              <w:rPr>
                <w:rFonts w:eastAsia="Times New Roman" w:cstheme="minorHAnsi"/>
                <w:sz w:val="20"/>
                <w:szCs w:val="20"/>
              </w:rPr>
              <w:t>82–100%</w:t>
            </w:r>
          </w:p>
        </w:tc>
      </w:tr>
      <w:tr w:rsidR="00A40B8A" w:rsidRPr="006035C4" w14:paraId="00D1934E" w14:textId="77777777" w:rsidTr="006035C4">
        <w:trPr>
          <w:trHeight w:val="569"/>
        </w:trPr>
        <w:tc>
          <w:tcPr>
            <w:tcW w:w="1129" w:type="dxa"/>
            <w:hideMark/>
          </w:tcPr>
          <w:p w14:paraId="1EB945EA" w14:textId="77777777" w:rsidR="00A40B8A" w:rsidRPr="006035C4" w:rsidRDefault="00A40B8A" w:rsidP="006035C4">
            <w:pPr>
              <w:rPr>
                <w:rFonts w:eastAsia="Times New Roman" w:cstheme="minorHAnsi"/>
                <w:sz w:val="20"/>
                <w:szCs w:val="20"/>
              </w:rPr>
            </w:pPr>
            <w:r w:rsidRPr="006035C4">
              <w:rPr>
                <w:rFonts w:eastAsia="Times New Roman" w:cstheme="minorHAnsi"/>
                <w:b/>
                <w:bCs/>
                <w:sz w:val="20"/>
                <w:szCs w:val="20"/>
              </w:rPr>
              <w:t>Moderate</w:t>
            </w:r>
          </w:p>
        </w:tc>
        <w:tc>
          <w:tcPr>
            <w:tcW w:w="4678" w:type="dxa"/>
            <w:hideMark/>
          </w:tcPr>
          <w:p w14:paraId="44BBE5D1" w14:textId="77777777" w:rsidR="00A40B8A" w:rsidRPr="006035C4" w:rsidRDefault="00A40B8A" w:rsidP="007746C3">
            <w:pPr>
              <w:jc w:val="center"/>
              <w:rPr>
                <w:rFonts w:eastAsia="Times New Roman" w:cstheme="minorHAnsi"/>
                <w:sz w:val="20"/>
                <w:szCs w:val="20"/>
              </w:rPr>
            </w:pPr>
            <w:r w:rsidRPr="006035C4">
              <w:rPr>
                <w:rFonts w:eastAsia="Times New Roman" w:cstheme="minorHAnsi"/>
                <w:sz w:val="20"/>
                <w:szCs w:val="20"/>
              </w:rPr>
              <w:t>Hb within KDIGO</w:t>
            </w:r>
          </w:p>
        </w:tc>
        <w:tc>
          <w:tcPr>
            <w:tcW w:w="1276" w:type="dxa"/>
            <w:hideMark/>
          </w:tcPr>
          <w:p w14:paraId="776C6B86" w14:textId="77777777" w:rsidR="00A40B8A" w:rsidRPr="006035C4" w:rsidRDefault="00A40B8A" w:rsidP="007746C3">
            <w:pPr>
              <w:jc w:val="center"/>
              <w:rPr>
                <w:rFonts w:eastAsia="Times New Roman" w:cstheme="minorHAnsi"/>
                <w:sz w:val="20"/>
                <w:szCs w:val="20"/>
              </w:rPr>
            </w:pPr>
            <w:r w:rsidRPr="006035C4">
              <w:rPr>
                <w:rFonts w:eastAsia="Times New Roman" w:cstheme="minorHAnsi"/>
                <w:sz w:val="20"/>
                <w:szCs w:val="20"/>
              </w:rPr>
              <w:t>62.9%</w:t>
            </w:r>
          </w:p>
        </w:tc>
      </w:tr>
      <w:tr w:rsidR="00A40B8A" w:rsidRPr="006035C4" w14:paraId="03B0A02A" w14:textId="77777777" w:rsidTr="006035C4">
        <w:trPr>
          <w:trHeight w:val="569"/>
        </w:trPr>
        <w:tc>
          <w:tcPr>
            <w:tcW w:w="1129" w:type="dxa"/>
            <w:hideMark/>
          </w:tcPr>
          <w:p w14:paraId="030CC33F" w14:textId="77777777" w:rsidR="00A40B8A" w:rsidRPr="006035C4" w:rsidRDefault="00A40B8A" w:rsidP="006035C4">
            <w:pPr>
              <w:rPr>
                <w:rFonts w:eastAsia="Times New Roman" w:cstheme="minorHAnsi"/>
                <w:sz w:val="20"/>
                <w:szCs w:val="20"/>
              </w:rPr>
            </w:pPr>
            <w:r w:rsidRPr="006035C4">
              <w:rPr>
                <w:rFonts w:eastAsia="Times New Roman" w:cstheme="minorHAnsi"/>
                <w:b/>
                <w:bCs/>
                <w:sz w:val="20"/>
                <w:szCs w:val="20"/>
              </w:rPr>
              <w:t>Low</w:t>
            </w:r>
          </w:p>
        </w:tc>
        <w:tc>
          <w:tcPr>
            <w:tcW w:w="4678" w:type="dxa"/>
            <w:hideMark/>
          </w:tcPr>
          <w:p w14:paraId="1BAB0C4D" w14:textId="77777777" w:rsidR="00A40B8A" w:rsidRPr="006035C4" w:rsidRDefault="00A40B8A" w:rsidP="007746C3">
            <w:pPr>
              <w:jc w:val="center"/>
              <w:rPr>
                <w:rFonts w:eastAsia="Times New Roman" w:cstheme="minorHAnsi"/>
                <w:sz w:val="20"/>
                <w:szCs w:val="20"/>
              </w:rPr>
            </w:pPr>
            <w:r w:rsidRPr="006035C4">
              <w:rPr>
                <w:rFonts w:eastAsia="Times New Roman" w:cstheme="minorHAnsi"/>
                <w:sz w:val="20"/>
                <w:szCs w:val="20"/>
              </w:rPr>
              <w:t>Iron documentation &amp; monitoring</w:t>
            </w:r>
          </w:p>
        </w:tc>
        <w:tc>
          <w:tcPr>
            <w:tcW w:w="1276" w:type="dxa"/>
            <w:hideMark/>
          </w:tcPr>
          <w:p w14:paraId="0C039EBB" w14:textId="77777777" w:rsidR="00A40B8A" w:rsidRPr="006035C4" w:rsidRDefault="00A40B8A" w:rsidP="007746C3">
            <w:pPr>
              <w:jc w:val="center"/>
              <w:rPr>
                <w:rFonts w:eastAsia="Times New Roman" w:cstheme="minorHAnsi"/>
                <w:sz w:val="20"/>
                <w:szCs w:val="20"/>
              </w:rPr>
            </w:pPr>
            <w:r w:rsidRPr="006035C4">
              <w:rPr>
                <w:rFonts w:eastAsia="Times New Roman" w:cstheme="minorHAnsi"/>
                <w:sz w:val="20"/>
                <w:szCs w:val="20"/>
              </w:rPr>
              <w:t>8–35%</w:t>
            </w:r>
          </w:p>
        </w:tc>
      </w:tr>
    </w:tbl>
    <w:p w14:paraId="03FA0227" w14:textId="74FA2FE2" w:rsidR="004E230B" w:rsidRPr="007746C3" w:rsidRDefault="004E230B" w:rsidP="007746C3">
      <w:pPr>
        <w:spacing w:after="0" w:line="240" w:lineRule="auto"/>
        <w:jc w:val="both"/>
        <w:rPr>
          <w:rFonts w:asciiTheme="minorBidi" w:hAnsiTheme="minorBidi"/>
          <w:sz w:val="24"/>
          <w:szCs w:val="24"/>
        </w:rPr>
      </w:pPr>
    </w:p>
    <w:p w14:paraId="54D4DC05" w14:textId="586DA8B1" w:rsidR="000574B2" w:rsidRPr="006035C4" w:rsidRDefault="000574B2" w:rsidP="007746C3">
      <w:pPr>
        <w:spacing w:after="0" w:line="240" w:lineRule="auto"/>
        <w:jc w:val="both"/>
        <w:rPr>
          <w:rFonts w:ascii="PMingLiU" w:eastAsia="PMingLiU" w:hAnsi="PMingLiU"/>
          <w:b/>
          <w:bCs/>
          <w:sz w:val="24"/>
          <w:szCs w:val="24"/>
        </w:rPr>
      </w:pPr>
      <w:r w:rsidRPr="006035C4">
        <w:rPr>
          <w:rFonts w:ascii="PMingLiU" w:eastAsia="PMingLiU" w:hAnsi="PMingLiU"/>
          <w:sz w:val="24"/>
          <w:szCs w:val="24"/>
        </w:rPr>
        <w:t>Table 2 showed excellent performance in anemia screening, iron deficiency correction, Hb monitoring post-ESA, and patient education across both sexes (</w:t>
      </w:r>
      <w:r w:rsidRPr="006035C4">
        <w:rPr>
          <w:rFonts w:ascii="Cambria Math" w:eastAsia="PMingLiU" w:hAnsi="Cambria Math" w:cs="Cambria Math"/>
          <w:sz w:val="24"/>
          <w:szCs w:val="24"/>
        </w:rPr>
        <w:t>≥</w:t>
      </w:r>
      <w:r w:rsidRPr="006035C4">
        <w:rPr>
          <w:rFonts w:ascii="PMingLiU" w:eastAsia="PMingLiU" w:hAnsi="PMingLiU"/>
          <w:sz w:val="24"/>
          <w:szCs w:val="24"/>
        </w:rPr>
        <w:t>96%). However, iron status documentation remained low (34–36%), and quarterly iron profile monitoring was critically poor (3.8–11.1%). Notably, males demonstrated better Hb maintenance within KDIGO targets (80.8%) compared with females (50%), indicating sex-based variation in treatment outcomes.</w:t>
      </w:r>
    </w:p>
    <w:p w14:paraId="313ACCD9" w14:textId="77777777" w:rsidR="006035C4" w:rsidRPr="006035C4" w:rsidRDefault="006035C4" w:rsidP="007746C3">
      <w:pPr>
        <w:spacing w:after="0" w:line="240" w:lineRule="auto"/>
        <w:jc w:val="both"/>
        <w:rPr>
          <w:rFonts w:asciiTheme="minorBidi" w:hAnsiTheme="minorBidi"/>
          <w:b/>
          <w:bCs/>
          <w:sz w:val="16"/>
          <w:szCs w:val="16"/>
        </w:rPr>
      </w:pPr>
    </w:p>
    <w:p w14:paraId="5D843ADE" w14:textId="65D82CC7" w:rsidR="001E22E9" w:rsidRDefault="001E22E9" w:rsidP="007746C3">
      <w:pPr>
        <w:spacing w:after="0" w:line="240" w:lineRule="auto"/>
        <w:jc w:val="both"/>
        <w:rPr>
          <w:rFonts w:asciiTheme="minorBidi" w:hAnsiTheme="minorBidi"/>
          <w:b/>
          <w:bCs/>
          <w:sz w:val="20"/>
          <w:szCs w:val="20"/>
        </w:rPr>
      </w:pPr>
      <w:r w:rsidRPr="006035C4">
        <w:rPr>
          <w:rFonts w:asciiTheme="minorBidi" w:hAnsiTheme="minorBidi"/>
          <w:b/>
          <w:bCs/>
          <w:sz w:val="20"/>
          <w:szCs w:val="20"/>
        </w:rPr>
        <w:t xml:space="preserve">Table </w:t>
      </w:r>
      <w:r w:rsidR="00B60760" w:rsidRPr="006035C4">
        <w:rPr>
          <w:rFonts w:asciiTheme="minorBidi" w:hAnsiTheme="minorBidi"/>
          <w:b/>
          <w:bCs/>
          <w:sz w:val="20"/>
          <w:szCs w:val="20"/>
        </w:rPr>
        <w:t>2</w:t>
      </w:r>
      <w:r w:rsidRPr="006035C4">
        <w:rPr>
          <w:rFonts w:asciiTheme="minorBidi" w:hAnsiTheme="minorBidi"/>
          <w:b/>
          <w:bCs/>
          <w:sz w:val="20"/>
          <w:szCs w:val="20"/>
        </w:rPr>
        <w:t>: Compliance with Clinical Audit Indicators (n=62)</w:t>
      </w:r>
    </w:p>
    <w:p w14:paraId="3F60E2EF" w14:textId="77777777" w:rsidR="006035C4" w:rsidRPr="006035C4" w:rsidRDefault="006035C4" w:rsidP="007746C3">
      <w:pPr>
        <w:spacing w:after="0" w:line="240" w:lineRule="auto"/>
        <w:jc w:val="both"/>
        <w:rPr>
          <w:rFonts w:asciiTheme="minorBidi" w:hAnsiTheme="minorBidi"/>
          <w:b/>
          <w:bCs/>
          <w:sz w:val="14"/>
          <w:szCs w:val="14"/>
        </w:rPr>
      </w:pPr>
    </w:p>
    <w:tbl>
      <w:tblPr>
        <w:tblStyle w:val="TableGrid"/>
        <w:tblW w:w="6658" w:type="dxa"/>
        <w:tblLook w:val="04A0" w:firstRow="1" w:lastRow="0" w:firstColumn="1" w:lastColumn="0" w:noHBand="0" w:noVBand="1"/>
      </w:tblPr>
      <w:tblGrid>
        <w:gridCol w:w="3823"/>
        <w:gridCol w:w="1417"/>
        <w:gridCol w:w="1418"/>
      </w:tblGrid>
      <w:tr w:rsidR="002D2277" w:rsidRPr="006035C4" w14:paraId="7D3A6E30" w14:textId="77777777" w:rsidTr="006035C4">
        <w:trPr>
          <w:trHeight w:val="194"/>
        </w:trPr>
        <w:tc>
          <w:tcPr>
            <w:tcW w:w="3823" w:type="dxa"/>
          </w:tcPr>
          <w:p w14:paraId="4418C057" w14:textId="5B38FFAF" w:rsidR="002D2277" w:rsidRPr="006035C4" w:rsidRDefault="002D2277" w:rsidP="006035C4">
            <w:pPr>
              <w:jc w:val="center"/>
              <w:rPr>
                <w:rFonts w:cstheme="minorHAnsi"/>
                <w:b/>
                <w:bCs/>
                <w:sz w:val="20"/>
                <w:szCs w:val="20"/>
              </w:rPr>
            </w:pPr>
            <w:r w:rsidRPr="006035C4">
              <w:rPr>
                <w:rFonts w:cstheme="minorHAnsi"/>
                <w:b/>
                <w:bCs/>
                <w:sz w:val="20"/>
                <w:szCs w:val="20"/>
              </w:rPr>
              <w:t>Audit Indicator</w:t>
            </w:r>
          </w:p>
        </w:tc>
        <w:tc>
          <w:tcPr>
            <w:tcW w:w="1417" w:type="dxa"/>
          </w:tcPr>
          <w:p w14:paraId="04979237" w14:textId="43D34CA1" w:rsidR="002D2277" w:rsidRPr="006035C4" w:rsidRDefault="002D2277" w:rsidP="006035C4">
            <w:pPr>
              <w:jc w:val="center"/>
              <w:rPr>
                <w:rFonts w:cstheme="minorHAnsi"/>
                <w:b/>
                <w:bCs/>
                <w:sz w:val="20"/>
                <w:szCs w:val="20"/>
              </w:rPr>
            </w:pPr>
            <w:r w:rsidRPr="006035C4">
              <w:rPr>
                <w:rFonts w:cstheme="minorHAnsi"/>
                <w:b/>
                <w:bCs/>
                <w:sz w:val="20"/>
                <w:szCs w:val="20"/>
              </w:rPr>
              <w:t xml:space="preserve">Male </w:t>
            </w:r>
            <w:proofErr w:type="gramStart"/>
            <w:r w:rsidR="006035C4" w:rsidRPr="006035C4">
              <w:rPr>
                <w:rFonts w:cstheme="minorHAnsi"/>
                <w:b/>
                <w:bCs/>
                <w:sz w:val="20"/>
                <w:szCs w:val="20"/>
              </w:rPr>
              <w:t>n</w:t>
            </w:r>
            <w:r w:rsidR="006035C4">
              <w:rPr>
                <w:rFonts w:cstheme="minorHAnsi"/>
                <w:b/>
                <w:bCs/>
                <w:sz w:val="20"/>
                <w:szCs w:val="20"/>
              </w:rPr>
              <w:t>(</w:t>
            </w:r>
            <w:proofErr w:type="gramEnd"/>
            <w:r w:rsidR="006035C4">
              <w:rPr>
                <w:rFonts w:cstheme="minorHAnsi"/>
                <w:b/>
                <w:bCs/>
                <w:sz w:val="20"/>
                <w:szCs w:val="20"/>
              </w:rPr>
              <w:t>%</w:t>
            </w:r>
            <w:r w:rsidR="006035C4" w:rsidRPr="006035C4">
              <w:rPr>
                <w:rFonts w:cstheme="minorHAnsi"/>
                <w:b/>
                <w:bCs/>
                <w:sz w:val="20"/>
                <w:szCs w:val="20"/>
              </w:rPr>
              <w:t>)</w:t>
            </w:r>
          </w:p>
        </w:tc>
        <w:tc>
          <w:tcPr>
            <w:tcW w:w="1418" w:type="dxa"/>
          </w:tcPr>
          <w:p w14:paraId="45D0FBD5" w14:textId="3C917653" w:rsidR="002D2277" w:rsidRPr="006035C4" w:rsidRDefault="002D2277" w:rsidP="006035C4">
            <w:pPr>
              <w:jc w:val="center"/>
              <w:rPr>
                <w:rFonts w:cstheme="minorHAnsi"/>
                <w:b/>
                <w:bCs/>
                <w:sz w:val="20"/>
                <w:szCs w:val="20"/>
              </w:rPr>
            </w:pPr>
            <w:r w:rsidRPr="006035C4">
              <w:rPr>
                <w:rFonts w:cstheme="minorHAnsi"/>
                <w:b/>
                <w:bCs/>
                <w:sz w:val="20"/>
                <w:szCs w:val="20"/>
              </w:rPr>
              <w:t xml:space="preserve">Female </w:t>
            </w:r>
            <w:proofErr w:type="gramStart"/>
            <w:r w:rsidRPr="006035C4">
              <w:rPr>
                <w:rFonts w:cstheme="minorHAnsi"/>
                <w:b/>
                <w:bCs/>
                <w:sz w:val="20"/>
                <w:szCs w:val="20"/>
              </w:rPr>
              <w:t>n</w:t>
            </w:r>
            <w:r w:rsidR="006035C4">
              <w:rPr>
                <w:rFonts w:cstheme="minorHAnsi"/>
                <w:b/>
                <w:bCs/>
                <w:sz w:val="20"/>
                <w:szCs w:val="20"/>
              </w:rPr>
              <w:t>(</w:t>
            </w:r>
            <w:proofErr w:type="gramEnd"/>
            <w:r w:rsidR="006035C4">
              <w:rPr>
                <w:rFonts w:cstheme="minorHAnsi"/>
                <w:b/>
                <w:bCs/>
                <w:sz w:val="20"/>
                <w:szCs w:val="20"/>
              </w:rPr>
              <w:t>%</w:t>
            </w:r>
            <w:r w:rsidRPr="006035C4">
              <w:rPr>
                <w:rFonts w:cstheme="minorHAnsi"/>
                <w:b/>
                <w:bCs/>
                <w:sz w:val="20"/>
                <w:szCs w:val="20"/>
              </w:rPr>
              <w:t>)</w:t>
            </w:r>
          </w:p>
        </w:tc>
      </w:tr>
      <w:tr w:rsidR="002D2277" w:rsidRPr="006035C4" w14:paraId="1110084E" w14:textId="77777777" w:rsidTr="006035C4">
        <w:trPr>
          <w:trHeight w:val="225"/>
        </w:trPr>
        <w:tc>
          <w:tcPr>
            <w:tcW w:w="3823" w:type="dxa"/>
          </w:tcPr>
          <w:p w14:paraId="45A21E0D" w14:textId="0A3DD4C4" w:rsidR="002D2277" w:rsidRPr="006035C4" w:rsidRDefault="00336D8D" w:rsidP="006035C4">
            <w:pPr>
              <w:jc w:val="center"/>
              <w:rPr>
                <w:rFonts w:cstheme="minorHAnsi"/>
                <w:sz w:val="20"/>
                <w:szCs w:val="20"/>
              </w:rPr>
            </w:pPr>
            <w:r w:rsidRPr="006035C4">
              <w:rPr>
                <w:rFonts w:cstheme="minorHAnsi"/>
                <w:sz w:val="20"/>
                <w:szCs w:val="20"/>
              </w:rPr>
              <w:t>Patients screened for anemia</w:t>
            </w:r>
          </w:p>
        </w:tc>
        <w:tc>
          <w:tcPr>
            <w:tcW w:w="1417" w:type="dxa"/>
          </w:tcPr>
          <w:p w14:paraId="7767A0E0" w14:textId="247FC644" w:rsidR="002D2277" w:rsidRPr="006035C4" w:rsidRDefault="00336D8D" w:rsidP="006035C4">
            <w:pPr>
              <w:jc w:val="center"/>
              <w:rPr>
                <w:rFonts w:cstheme="minorHAnsi"/>
                <w:sz w:val="20"/>
                <w:szCs w:val="20"/>
              </w:rPr>
            </w:pPr>
            <w:r w:rsidRPr="006035C4">
              <w:rPr>
                <w:rFonts w:cstheme="minorHAnsi"/>
                <w:sz w:val="20"/>
                <w:szCs w:val="20"/>
              </w:rPr>
              <w:t>26 (100%)</w:t>
            </w:r>
          </w:p>
        </w:tc>
        <w:tc>
          <w:tcPr>
            <w:tcW w:w="1418" w:type="dxa"/>
          </w:tcPr>
          <w:p w14:paraId="5D93AE81" w14:textId="1BE6944B" w:rsidR="002D2277" w:rsidRPr="006035C4" w:rsidRDefault="00336D8D" w:rsidP="006035C4">
            <w:pPr>
              <w:jc w:val="center"/>
              <w:rPr>
                <w:rFonts w:cstheme="minorHAnsi"/>
                <w:sz w:val="20"/>
                <w:szCs w:val="20"/>
              </w:rPr>
            </w:pPr>
            <w:r w:rsidRPr="006035C4">
              <w:rPr>
                <w:rFonts w:cstheme="minorHAnsi"/>
                <w:sz w:val="20"/>
                <w:szCs w:val="20"/>
              </w:rPr>
              <w:t>36 (100%)</w:t>
            </w:r>
          </w:p>
        </w:tc>
      </w:tr>
      <w:tr w:rsidR="002D2277" w:rsidRPr="006035C4" w14:paraId="09813903" w14:textId="77777777" w:rsidTr="006035C4">
        <w:trPr>
          <w:trHeight w:val="52"/>
        </w:trPr>
        <w:tc>
          <w:tcPr>
            <w:tcW w:w="3823" w:type="dxa"/>
          </w:tcPr>
          <w:p w14:paraId="2F1B4EF6" w14:textId="20CF84E2" w:rsidR="002D2277" w:rsidRPr="006035C4" w:rsidRDefault="00336D8D" w:rsidP="006035C4">
            <w:pPr>
              <w:jc w:val="center"/>
              <w:rPr>
                <w:rFonts w:cstheme="minorHAnsi"/>
                <w:sz w:val="20"/>
                <w:szCs w:val="20"/>
              </w:rPr>
            </w:pPr>
            <w:r w:rsidRPr="006035C4">
              <w:rPr>
                <w:rFonts w:cstheme="minorHAnsi"/>
                <w:sz w:val="20"/>
                <w:szCs w:val="20"/>
              </w:rPr>
              <w:t>Patients with documented iron status</w:t>
            </w:r>
          </w:p>
        </w:tc>
        <w:tc>
          <w:tcPr>
            <w:tcW w:w="1417" w:type="dxa"/>
          </w:tcPr>
          <w:p w14:paraId="45B0F6CD" w14:textId="7FB89DEC" w:rsidR="002D2277" w:rsidRPr="006035C4" w:rsidRDefault="00336D8D" w:rsidP="006035C4">
            <w:pPr>
              <w:jc w:val="center"/>
              <w:rPr>
                <w:rFonts w:cstheme="minorHAnsi"/>
                <w:sz w:val="20"/>
                <w:szCs w:val="20"/>
              </w:rPr>
            </w:pPr>
            <w:r w:rsidRPr="006035C4">
              <w:rPr>
                <w:rFonts w:cstheme="minorHAnsi"/>
                <w:sz w:val="20"/>
                <w:szCs w:val="20"/>
              </w:rPr>
              <w:t>9 (34.6%)</w:t>
            </w:r>
          </w:p>
        </w:tc>
        <w:tc>
          <w:tcPr>
            <w:tcW w:w="1418" w:type="dxa"/>
          </w:tcPr>
          <w:p w14:paraId="30F90298" w14:textId="3BED64CF" w:rsidR="002D2277" w:rsidRPr="006035C4" w:rsidRDefault="00DA231D" w:rsidP="006035C4">
            <w:pPr>
              <w:jc w:val="center"/>
              <w:rPr>
                <w:rFonts w:cstheme="minorHAnsi"/>
                <w:sz w:val="20"/>
                <w:szCs w:val="20"/>
              </w:rPr>
            </w:pPr>
            <w:r w:rsidRPr="006035C4">
              <w:rPr>
                <w:rFonts w:cstheme="minorHAnsi"/>
                <w:sz w:val="20"/>
                <w:szCs w:val="20"/>
              </w:rPr>
              <w:t>13 (36.1%)</w:t>
            </w:r>
          </w:p>
        </w:tc>
      </w:tr>
      <w:tr w:rsidR="002D2277" w:rsidRPr="006035C4" w14:paraId="33756535" w14:textId="77777777" w:rsidTr="006035C4">
        <w:trPr>
          <w:trHeight w:val="52"/>
        </w:trPr>
        <w:tc>
          <w:tcPr>
            <w:tcW w:w="3823" w:type="dxa"/>
          </w:tcPr>
          <w:p w14:paraId="3D74DEA3" w14:textId="5A0E8B06" w:rsidR="002D2277" w:rsidRPr="006035C4" w:rsidRDefault="00336D8D" w:rsidP="006035C4">
            <w:pPr>
              <w:jc w:val="center"/>
              <w:rPr>
                <w:rFonts w:cstheme="minorHAnsi"/>
                <w:sz w:val="20"/>
                <w:szCs w:val="20"/>
              </w:rPr>
            </w:pPr>
            <w:r w:rsidRPr="006035C4">
              <w:rPr>
                <w:rFonts w:cstheme="minorHAnsi"/>
                <w:sz w:val="20"/>
                <w:szCs w:val="20"/>
              </w:rPr>
              <w:t>Iron deficiency corrected before ESA</w:t>
            </w:r>
          </w:p>
        </w:tc>
        <w:tc>
          <w:tcPr>
            <w:tcW w:w="1417" w:type="dxa"/>
          </w:tcPr>
          <w:p w14:paraId="478DF60C" w14:textId="787AD411" w:rsidR="002D2277" w:rsidRPr="006035C4" w:rsidRDefault="00336D8D" w:rsidP="006035C4">
            <w:pPr>
              <w:jc w:val="center"/>
              <w:rPr>
                <w:rFonts w:cstheme="minorHAnsi"/>
                <w:sz w:val="20"/>
                <w:szCs w:val="20"/>
              </w:rPr>
            </w:pPr>
            <w:r w:rsidRPr="006035C4">
              <w:rPr>
                <w:rFonts w:cstheme="minorHAnsi"/>
                <w:sz w:val="20"/>
                <w:szCs w:val="20"/>
              </w:rPr>
              <w:t>23 (88.5%)</w:t>
            </w:r>
          </w:p>
        </w:tc>
        <w:tc>
          <w:tcPr>
            <w:tcW w:w="1418" w:type="dxa"/>
          </w:tcPr>
          <w:p w14:paraId="2C24F43D" w14:textId="067E1D71" w:rsidR="002D2277" w:rsidRPr="006035C4" w:rsidRDefault="00DA231D" w:rsidP="006035C4">
            <w:pPr>
              <w:jc w:val="center"/>
              <w:rPr>
                <w:rFonts w:cstheme="minorHAnsi"/>
                <w:sz w:val="20"/>
                <w:szCs w:val="20"/>
              </w:rPr>
            </w:pPr>
            <w:r w:rsidRPr="006035C4">
              <w:rPr>
                <w:rFonts w:cstheme="minorHAnsi"/>
                <w:sz w:val="20"/>
                <w:szCs w:val="20"/>
              </w:rPr>
              <w:t>31 (86.1%)</w:t>
            </w:r>
          </w:p>
        </w:tc>
      </w:tr>
      <w:tr w:rsidR="002D2277" w:rsidRPr="006035C4" w14:paraId="35BD41EA" w14:textId="77777777" w:rsidTr="006035C4">
        <w:trPr>
          <w:trHeight w:val="52"/>
        </w:trPr>
        <w:tc>
          <w:tcPr>
            <w:tcW w:w="3823" w:type="dxa"/>
          </w:tcPr>
          <w:p w14:paraId="39B86D68" w14:textId="0C620916" w:rsidR="002D2277" w:rsidRPr="006035C4" w:rsidRDefault="00336D8D" w:rsidP="006035C4">
            <w:pPr>
              <w:jc w:val="center"/>
              <w:rPr>
                <w:rFonts w:cstheme="minorHAnsi"/>
                <w:sz w:val="20"/>
                <w:szCs w:val="20"/>
              </w:rPr>
            </w:pPr>
            <w:r w:rsidRPr="006035C4">
              <w:rPr>
                <w:rFonts w:cstheme="minorHAnsi"/>
                <w:sz w:val="20"/>
                <w:szCs w:val="20"/>
              </w:rPr>
              <w:t>Hb monitored 2-4 weeks after ESA initiation</w:t>
            </w:r>
          </w:p>
        </w:tc>
        <w:tc>
          <w:tcPr>
            <w:tcW w:w="1417" w:type="dxa"/>
          </w:tcPr>
          <w:p w14:paraId="734A0FBC" w14:textId="0F37E590" w:rsidR="002D2277" w:rsidRPr="006035C4" w:rsidRDefault="00336D8D" w:rsidP="006035C4">
            <w:pPr>
              <w:jc w:val="center"/>
              <w:rPr>
                <w:rFonts w:cstheme="minorHAnsi"/>
                <w:sz w:val="20"/>
                <w:szCs w:val="20"/>
              </w:rPr>
            </w:pPr>
            <w:r w:rsidRPr="006035C4">
              <w:rPr>
                <w:rFonts w:cstheme="minorHAnsi"/>
                <w:sz w:val="20"/>
                <w:szCs w:val="20"/>
              </w:rPr>
              <w:t>25 (96.2%)</w:t>
            </w:r>
          </w:p>
        </w:tc>
        <w:tc>
          <w:tcPr>
            <w:tcW w:w="1418" w:type="dxa"/>
          </w:tcPr>
          <w:p w14:paraId="7B4AA125" w14:textId="0B739CDA" w:rsidR="002D2277" w:rsidRPr="006035C4" w:rsidRDefault="00DA231D" w:rsidP="006035C4">
            <w:pPr>
              <w:jc w:val="center"/>
              <w:rPr>
                <w:rFonts w:cstheme="minorHAnsi"/>
                <w:sz w:val="20"/>
                <w:szCs w:val="20"/>
              </w:rPr>
            </w:pPr>
            <w:r w:rsidRPr="006035C4">
              <w:rPr>
                <w:rFonts w:cstheme="minorHAnsi"/>
                <w:sz w:val="20"/>
                <w:szCs w:val="20"/>
              </w:rPr>
              <w:t>36 (100%)</w:t>
            </w:r>
          </w:p>
        </w:tc>
      </w:tr>
      <w:tr w:rsidR="002D2277" w:rsidRPr="006035C4" w14:paraId="57C19948" w14:textId="77777777" w:rsidTr="006035C4">
        <w:trPr>
          <w:trHeight w:val="56"/>
        </w:trPr>
        <w:tc>
          <w:tcPr>
            <w:tcW w:w="3823" w:type="dxa"/>
          </w:tcPr>
          <w:p w14:paraId="7BBC90A5" w14:textId="3A39A232" w:rsidR="002D2277" w:rsidRPr="006035C4" w:rsidRDefault="00336D8D" w:rsidP="006035C4">
            <w:pPr>
              <w:jc w:val="center"/>
              <w:rPr>
                <w:rFonts w:cstheme="minorHAnsi"/>
                <w:sz w:val="20"/>
                <w:szCs w:val="20"/>
              </w:rPr>
            </w:pPr>
            <w:r w:rsidRPr="006035C4">
              <w:rPr>
                <w:rFonts w:cstheme="minorHAnsi"/>
                <w:sz w:val="20"/>
                <w:szCs w:val="20"/>
              </w:rPr>
              <w:t>Hb maintained within KDIGO range</w:t>
            </w:r>
          </w:p>
        </w:tc>
        <w:tc>
          <w:tcPr>
            <w:tcW w:w="1417" w:type="dxa"/>
          </w:tcPr>
          <w:p w14:paraId="0C05FBC3" w14:textId="5497912D" w:rsidR="002D2277" w:rsidRPr="006035C4" w:rsidRDefault="00336D8D" w:rsidP="006035C4">
            <w:pPr>
              <w:jc w:val="center"/>
              <w:rPr>
                <w:rFonts w:cstheme="minorHAnsi"/>
                <w:sz w:val="20"/>
                <w:szCs w:val="20"/>
              </w:rPr>
            </w:pPr>
            <w:r w:rsidRPr="006035C4">
              <w:rPr>
                <w:rFonts w:cstheme="minorHAnsi"/>
                <w:sz w:val="20"/>
                <w:szCs w:val="20"/>
              </w:rPr>
              <w:t>21 (80.8%)</w:t>
            </w:r>
          </w:p>
        </w:tc>
        <w:tc>
          <w:tcPr>
            <w:tcW w:w="1418" w:type="dxa"/>
          </w:tcPr>
          <w:p w14:paraId="5C981804" w14:textId="7AE8A9F1" w:rsidR="002D2277" w:rsidRPr="006035C4" w:rsidRDefault="00DA231D" w:rsidP="006035C4">
            <w:pPr>
              <w:jc w:val="center"/>
              <w:rPr>
                <w:rFonts w:cstheme="minorHAnsi"/>
                <w:sz w:val="20"/>
                <w:szCs w:val="20"/>
              </w:rPr>
            </w:pPr>
            <w:r w:rsidRPr="006035C4">
              <w:rPr>
                <w:rFonts w:cstheme="minorHAnsi"/>
                <w:sz w:val="20"/>
                <w:szCs w:val="20"/>
              </w:rPr>
              <w:t>18 (50%)</w:t>
            </w:r>
          </w:p>
        </w:tc>
      </w:tr>
      <w:tr w:rsidR="002D2277" w:rsidRPr="006035C4" w14:paraId="0F75FC27" w14:textId="77777777" w:rsidTr="006035C4">
        <w:trPr>
          <w:trHeight w:val="52"/>
        </w:trPr>
        <w:tc>
          <w:tcPr>
            <w:tcW w:w="3823" w:type="dxa"/>
          </w:tcPr>
          <w:p w14:paraId="1DAC7141" w14:textId="505B848E" w:rsidR="002D2277" w:rsidRPr="006035C4" w:rsidRDefault="00336D8D" w:rsidP="006035C4">
            <w:pPr>
              <w:jc w:val="center"/>
              <w:rPr>
                <w:rFonts w:cstheme="minorHAnsi"/>
                <w:sz w:val="20"/>
                <w:szCs w:val="20"/>
              </w:rPr>
            </w:pPr>
            <w:r w:rsidRPr="006035C4">
              <w:rPr>
                <w:rFonts w:cstheme="minorHAnsi"/>
                <w:sz w:val="20"/>
                <w:szCs w:val="20"/>
              </w:rPr>
              <w:t>Iron profile checked every 3 months</w:t>
            </w:r>
          </w:p>
        </w:tc>
        <w:tc>
          <w:tcPr>
            <w:tcW w:w="1417" w:type="dxa"/>
          </w:tcPr>
          <w:p w14:paraId="7B817EE9" w14:textId="107B28BE" w:rsidR="002D2277" w:rsidRPr="006035C4" w:rsidRDefault="00336D8D" w:rsidP="006035C4">
            <w:pPr>
              <w:jc w:val="center"/>
              <w:rPr>
                <w:rFonts w:cstheme="minorHAnsi"/>
                <w:sz w:val="20"/>
                <w:szCs w:val="20"/>
              </w:rPr>
            </w:pPr>
            <w:r w:rsidRPr="006035C4">
              <w:rPr>
                <w:rFonts w:cstheme="minorHAnsi"/>
                <w:sz w:val="20"/>
                <w:szCs w:val="20"/>
              </w:rPr>
              <w:t>1 (3.8%)</w:t>
            </w:r>
          </w:p>
        </w:tc>
        <w:tc>
          <w:tcPr>
            <w:tcW w:w="1418" w:type="dxa"/>
          </w:tcPr>
          <w:p w14:paraId="31EEA89B" w14:textId="0797860D" w:rsidR="002D2277" w:rsidRPr="006035C4" w:rsidRDefault="00DA231D" w:rsidP="006035C4">
            <w:pPr>
              <w:jc w:val="center"/>
              <w:rPr>
                <w:rFonts w:cstheme="minorHAnsi"/>
                <w:sz w:val="20"/>
                <w:szCs w:val="20"/>
              </w:rPr>
            </w:pPr>
            <w:r w:rsidRPr="006035C4">
              <w:rPr>
                <w:rFonts w:cstheme="minorHAnsi"/>
                <w:sz w:val="20"/>
                <w:szCs w:val="20"/>
              </w:rPr>
              <w:t>4 (11.1%)</w:t>
            </w:r>
          </w:p>
        </w:tc>
      </w:tr>
      <w:tr w:rsidR="002D2277" w:rsidRPr="006035C4" w14:paraId="7BC69105" w14:textId="77777777" w:rsidTr="006035C4">
        <w:trPr>
          <w:trHeight w:val="52"/>
        </w:trPr>
        <w:tc>
          <w:tcPr>
            <w:tcW w:w="3823" w:type="dxa"/>
          </w:tcPr>
          <w:p w14:paraId="02F2F8B2" w14:textId="2F0F3664" w:rsidR="002D2277" w:rsidRPr="006035C4" w:rsidRDefault="00336D8D" w:rsidP="006035C4">
            <w:pPr>
              <w:jc w:val="center"/>
              <w:rPr>
                <w:rFonts w:cstheme="minorHAnsi"/>
                <w:sz w:val="20"/>
                <w:szCs w:val="20"/>
              </w:rPr>
            </w:pPr>
            <w:r w:rsidRPr="006035C4">
              <w:rPr>
                <w:rFonts w:cstheme="minorHAnsi"/>
                <w:sz w:val="20"/>
                <w:szCs w:val="20"/>
              </w:rPr>
              <w:t>ESA dose adjusted appropriately</w:t>
            </w:r>
          </w:p>
        </w:tc>
        <w:tc>
          <w:tcPr>
            <w:tcW w:w="1417" w:type="dxa"/>
          </w:tcPr>
          <w:p w14:paraId="3E3B6DF3" w14:textId="070B3C8F" w:rsidR="002D2277" w:rsidRPr="006035C4" w:rsidRDefault="00336D8D" w:rsidP="006035C4">
            <w:pPr>
              <w:jc w:val="center"/>
              <w:rPr>
                <w:rFonts w:cstheme="minorHAnsi"/>
                <w:sz w:val="20"/>
                <w:szCs w:val="20"/>
              </w:rPr>
            </w:pPr>
            <w:r w:rsidRPr="006035C4">
              <w:rPr>
                <w:rFonts w:cstheme="minorHAnsi"/>
                <w:sz w:val="20"/>
                <w:szCs w:val="20"/>
              </w:rPr>
              <w:t>19 (73.1%)</w:t>
            </w:r>
          </w:p>
        </w:tc>
        <w:tc>
          <w:tcPr>
            <w:tcW w:w="1418" w:type="dxa"/>
          </w:tcPr>
          <w:p w14:paraId="08F5E058" w14:textId="777922B3" w:rsidR="002D2277" w:rsidRPr="006035C4" w:rsidRDefault="00DA231D" w:rsidP="006035C4">
            <w:pPr>
              <w:jc w:val="center"/>
              <w:rPr>
                <w:rFonts w:cstheme="minorHAnsi"/>
                <w:sz w:val="20"/>
                <w:szCs w:val="20"/>
              </w:rPr>
            </w:pPr>
            <w:r w:rsidRPr="006035C4">
              <w:rPr>
                <w:rFonts w:cstheme="minorHAnsi"/>
                <w:sz w:val="20"/>
                <w:szCs w:val="20"/>
              </w:rPr>
              <w:t>32 (88.9%)</w:t>
            </w:r>
          </w:p>
        </w:tc>
      </w:tr>
      <w:tr w:rsidR="002D2277" w:rsidRPr="006035C4" w14:paraId="28C6C848" w14:textId="77777777" w:rsidTr="006035C4">
        <w:trPr>
          <w:trHeight w:val="52"/>
        </w:trPr>
        <w:tc>
          <w:tcPr>
            <w:tcW w:w="3823" w:type="dxa"/>
          </w:tcPr>
          <w:p w14:paraId="0E7A6E21" w14:textId="235F58F0" w:rsidR="002D2277" w:rsidRPr="006035C4" w:rsidRDefault="00336D8D" w:rsidP="006035C4">
            <w:pPr>
              <w:jc w:val="center"/>
              <w:rPr>
                <w:rFonts w:cstheme="minorHAnsi"/>
                <w:sz w:val="20"/>
                <w:szCs w:val="20"/>
              </w:rPr>
            </w:pPr>
            <w:r w:rsidRPr="006035C4">
              <w:rPr>
                <w:rFonts w:cstheme="minorHAnsi"/>
                <w:sz w:val="20"/>
                <w:szCs w:val="20"/>
              </w:rPr>
              <w:t>Patient education completed</w:t>
            </w:r>
          </w:p>
        </w:tc>
        <w:tc>
          <w:tcPr>
            <w:tcW w:w="1417" w:type="dxa"/>
          </w:tcPr>
          <w:p w14:paraId="09DF9FAA" w14:textId="22F40A69" w:rsidR="002D2277" w:rsidRPr="006035C4" w:rsidRDefault="00336D8D" w:rsidP="006035C4">
            <w:pPr>
              <w:jc w:val="center"/>
              <w:rPr>
                <w:rFonts w:cstheme="minorHAnsi"/>
                <w:sz w:val="20"/>
                <w:szCs w:val="20"/>
              </w:rPr>
            </w:pPr>
            <w:r w:rsidRPr="006035C4">
              <w:rPr>
                <w:rFonts w:cstheme="minorHAnsi"/>
                <w:sz w:val="20"/>
                <w:szCs w:val="20"/>
              </w:rPr>
              <w:t>25 (96.2%)</w:t>
            </w:r>
          </w:p>
        </w:tc>
        <w:tc>
          <w:tcPr>
            <w:tcW w:w="1418" w:type="dxa"/>
          </w:tcPr>
          <w:p w14:paraId="62FCEEA9" w14:textId="406939BD" w:rsidR="002D2277" w:rsidRPr="006035C4" w:rsidRDefault="00DA231D" w:rsidP="006035C4">
            <w:pPr>
              <w:jc w:val="center"/>
              <w:rPr>
                <w:rFonts w:cstheme="minorHAnsi"/>
                <w:sz w:val="20"/>
                <w:szCs w:val="20"/>
              </w:rPr>
            </w:pPr>
            <w:r w:rsidRPr="006035C4">
              <w:rPr>
                <w:rFonts w:cstheme="minorHAnsi"/>
                <w:sz w:val="20"/>
                <w:szCs w:val="20"/>
              </w:rPr>
              <w:t>36 (100%)</w:t>
            </w:r>
          </w:p>
        </w:tc>
      </w:tr>
    </w:tbl>
    <w:p w14:paraId="1E400BEA" w14:textId="77777777" w:rsidR="001736DB" w:rsidRPr="006035C4" w:rsidRDefault="001736DB" w:rsidP="007746C3">
      <w:pPr>
        <w:spacing w:after="0" w:line="240" w:lineRule="auto"/>
        <w:jc w:val="both"/>
        <w:rPr>
          <w:rFonts w:asciiTheme="minorBidi" w:hAnsiTheme="minorBidi"/>
          <w:sz w:val="18"/>
          <w:szCs w:val="18"/>
        </w:rPr>
      </w:pPr>
    </w:p>
    <w:p w14:paraId="2CE822FD" w14:textId="77777777" w:rsidR="006035C4" w:rsidRDefault="006035C4" w:rsidP="006035C4">
      <w:pPr>
        <w:spacing w:after="0" w:line="240" w:lineRule="auto"/>
        <w:jc w:val="both"/>
        <w:rPr>
          <w:rFonts w:ascii="PMingLiU" w:eastAsia="PMingLiU" w:hAnsi="PMingLiU"/>
          <w:sz w:val="20"/>
          <w:szCs w:val="20"/>
        </w:rPr>
      </w:pPr>
      <w:r w:rsidRPr="006035C4">
        <w:rPr>
          <w:rFonts w:ascii="PMingLiU" w:eastAsia="PMingLiU" w:hAnsi="PMingLiU"/>
          <w:sz w:val="20"/>
          <w:szCs w:val="20"/>
        </w:rPr>
        <w:t>Figure 3 illustrates that anemia screening, patient education, and post-ESA hemoglobin monitoring achieved near-perfect compliance (98–100%), reflecting strong adherence to essential care processes. ESA dose adjustment (82.3%) and iron deficiency correction (87.1%) showed good but improvable performance. The lowest compliance was observed in iron documentation (35.5%) and quarterly iron profile monitoring (8.1%), identifying iron management as the most critical gap requiring intervention.</w:t>
      </w:r>
    </w:p>
    <w:p w14:paraId="7DEA7451" w14:textId="77777777" w:rsidR="006035C4" w:rsidRDefault="006035C4" w:rsidP="006035C4">
      <w:pPr>
        <w:spacing w:after="0" w:line="240" w:lineRule="auto"/>
        <w:jc w:val="both"/>
        <w:rPr>
          <w:rFonts w:ascii="PMingLiU" w:eastAsia="PMingLiU" w:hAnsi="PMingLiU"/>
          <w:sz w:val="20"/>
          <w:szCs w:val="20"/>
        </w:rPr>
      </w:pPr>
    </w:p>
    <w:p w14:paraId="520AF49C" w14:textId="77777777" w:rsidR="006035C4" w:rsidRDefault="006035C4" w:rsidP="006035C4">
      <w:pPr>
        <w:spacing w:after="0" w:line="240" w:lineRule="auto"/>
        <w:jc w:val="both"/>
        <w:rPr>
          <w:rFonts w:ascii="PMingLiU" w:eastAsia="PMingLiU" w:hAnsi="PMingLiU"/>
          <w:color w:val="000000"/>
          <w:sz w:val="20"/>
          <w:szCs w:val="20"/>
        </w:rPr>
      </w:pPr>
      <w:r w:rsidRPr="006035C4">
        <w:rPr>
          <w:rFonts w:ascii="PMingLiU" w:eastAsia="PMingLiU" w:hAnsi="PMingLiU"/>
          <w:color w:val="000000"/>
          <w:sz w:val="20"/>
          <w:szCs w:val="20"/>
        </w:rPr>
        <w:t xml:space="preserve">Table 3 shows a heatmap-based correlation analysis identified several significant associations among key anemia management indicators. ESA dose adjustments exhibited a strong positive correlation with hemoglobin (Hb) maintenance (r &gt; 0.70), underscoring the pivotal role of precise ESA titration in sustaining target Hb levels. Iron profile monitoring and patient education both showed moderate positive correlations (r </w:t>
      </w:r>
      <w:r w:rsidRPr="006035C4">
        <w:rPr>
          <w:rFonts w:ascii="Cambria Math" w:eastAsia="PMingLiU" w:hAnsi="Cambria Math" w:cs="Cambria Math"/>
          <w:color w:val="000000"/>
          <w:sz w:val="20"/>
          <w:szCs w:val="20"/>
        </w:rPr>
        <w:t>≈</w:t>
      </w:r>
      <w:r w:rsidRPr="006035C4">
        <w:rPr>
          <w:rFonts w:ascii="PMingLiU" w:eastAsia="PMingLiU" w:hAnsi="PMingLiU"/>
          <w:color w:val="000000"/>
          <w:sz w:val="20"/>
          <w:szCs w:val="20"/>
        </w:rPr>
        <w:t xml:space="preserve"> 0.50–0.55), reflecting that consistent iron assessment and informed patient participation contribute to improved treatment outcomes. Iron deficiency correction also moderately correlated with timely Hb monitoring (r </w:t>
      </w:r>
      <w:r w:rsidRPr="006035C4">
        <w:rPr>
          <w:rFonts w:ascii="Cambria Math" w:eastAsia="PMingLiU" w:hAnsi="Cambria Math" w:cs="Cambria Math"/>
          <w:color w:val="000000"/>
          <w:sz w:val="20"/>
          <w:szCs w:val="20"/>
        </w:rPr>
        <w:t>≈</w:t>
      </w:r>
      <w:r w:rsidRPr="006035C4">
        <w:rPr>
          <w:rFonts w:ascii="PMingLiU" w:eastAsia="PMingLiU" w:hAnsi="PMingLiU"/>
          <w:color w:val="000000"/>
          <w:sz w:val="20"/>
          <w:szCs w:val="20"/>
        </w:rPr>
        <w:t xml:space="preserve"> 0.60), indicating that proactive iron management enhances follow-up adherence. </w:t>
      </w:r>
      <w:r w:rsidRPr="006035C4">
        <w:rPr>
          <w:rFonts w:ascii="PMingLiU" w:eastAsia="PMingLiU" w:hAnsi="PMingLiU"/>
          <w:color w:val="000000"/>
          <w:sz w:val="20"/>
          <w:szCs w:val="20"/>
        </w:rPr>
        <w:lastRenderedPageBreak/>
        <w:t>Conversely, anemia screening demonstrated weak correlations (&lt; 0.30) with other indicators, suggesting that screening alone is insufficient and must be complemented by effective monitoring and intervention strategies to optimize anemia management.</w:t>
      </w:r>
    </w:p>
    <w:p w14:paraId="32C439BF" w14:textId="77777777" w:rsidR="006035C4" w:rsidRDefault="006035C4" w:rsidP="007746C3">
      <w:pPr>
        <w:spacing w:after="0" w:line="240" w:lineRule="auto"/>
        <w:jc w:val="both"/>
        <w:rPr>
          <w:rFonts w:asciiTheme="minorBidi" w:hAnsiTheme="minorBidi"/>
          <w:b/>
          <w:bCs/>
          <w:sz w:val="20"/>
          <w:szCs w:val="20"/>
        </w:rPr>
      </w:pPr>
    </w:p>
    <w:p w14:paraId="08BE0C59" w14:textId="617A7AC1" w:rsidR="001736DB" w:rsidRPr="006035C4" w:rsidRDefault="001736DB" w:rsidP="007746C3">
      <w:pPr>
        <w:spacing w:after="0" w:line="240" w:lineRule="auto"/>
        <w:jc w:val="both"/>
        <w:rPr>
          <w:rFonts w:asciiTheme="minorBidi" w:hAnsiTheme="minorBidi"/>
          <w:b/>
          <w:bCs/>
          <w:sz w:val="20"/>
          <w:szCs w:val="20"/>
        </w:rPr>
      </w:pPr>
      <w:r w:rsidRPr="006035C4">
        <w:rPr>
          <w:rFonts w:asciiTheme="minorBidi" w:hAnsiTheme="minorBidi"/>
          <w:b/>
          <w:bCs/>
          <w:sz w:val="20"/>
          <w:szCs w:val="20"/>
        </w:rPr>
        <w:t>Figure 3: Anemia management metrics (n=62)</w:t>
      </w:r>
    </w:p>
    <w:p w14:paraId="6A22551D" w14:textId="52577240" w:rsidR="006035C4" w:rsidRDefault="006035C4" w:rsidP="007746C3">
      <w:pPr>
        <w:spacing w:after="0" w:line="240" w:lineRule="auto"/>
        <w:jc w:val="both"/>
        <w:rPr>
          <w:rFonts w:asciiTheme="minorBidi" w:hAnsiTheme="minorBidi"/>
          <w:sz w:val="24"/>
          <w:szCs w:val="24"/>
        </w:rPr>
      </w:pPr>
      <w:r w:rsidRPr="006035C4">
        <w:rPr>
          <w:rFonts w:asciiTheme="minorBidi" w:hAnsiTheme="minorBidi"/>
          <w:noProof/>
          <w:sz w:val="24"/>
          <w:szCs w:val="24"/>
        </w:rPr>
        <w:drawing>
          <wp:inline distT="0" distB="0" distL="0" distR="0" wp14:anchorId="7FC6EFB1" wp14:editId="110886DF">
            <wp:extent cx="3982987" cy="1948940"/>
            <wp:effectExtent l="0" t="0" r="5080" b="0"/>
            <wp:docPr id="38064339" name="Picture 1" descr="A graph with blu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64339" name="Picture 1" descr="A graph with blue bars&#10;&#10;AI-generated content may be incorrect."/>
                    <pic:cNvPicPr/>
                  </pic:nvPicPr>
                  <pic:blipFill>
                    <a:blip r:embed="rId10"/>
                    <a:stretch>
                      <a:fillRect/>
                    </a:stretch>
                  </pic:blipFill>
                  <pic:spPr>
                    <a:xfrm>
                      <a:off x="0" y="0"/>
                      <a:ext cx="4003920" cy="1959183"/>
                    </a:xfrm>
                    <a:prstGeom prst="rect">
                      <a:avLst/>
                    </a:prstGeom>
                  </pic:spPr>
                </pic:pic>
              </a:graphicData>
            </a:graphic>
          </wp:inline>
        </w:drawing>
      </w:r>
    </w:p>
    <w:p w14:paraId="4AB2380D" w14:textId="77777777" w:rsidR="006035C4" w:rsidRPr="006035C4" w:rsidRDefault="006035C4" w:rsidP="007746C3">
      <w:pPr>
        <w:spacing w:after="0" w:line="240" w:lineRule="auto"/>
        <w:jc w:val="both"/>
        <w:rPr>
          <w:rFonts w:ascii="PMingLiU" w:eastAsia="PMingLiU" w:hAnsi="PMingLiU"/>
          <w:color w:val="000000"/>
          <w:sz w:val="20"/>
          <w:szCs w:val="20"/>
        </w:rPr>
      </w:pPr>
    </w:p>
    <w:p w14:paraId="4306BA22" w14:textId="134692EB" w:rsidR="00AB5B55" w:rsidRDefault="00AB5B55" w:rsidP="007746C3">
      <w:pPr>
        <w:spacing w:after="0" w:line="240" w:lineRule="auto"/>
        <w:jc w:val="both"/>
        <w:rPr>
          <w:rFonts w:asciiTheme="minorBidi" w:eastAsia="MS Mincho" w:hAnsiTheme="minorBidi"/>
          <w:b/>
          <w:bCs/>
          <w:color w:val="000000"/>
          <w:sz w:val="20"/>
          <w:szCs w:val="20"/>
        </w:rPr>
      </w:pPr>
      <w:r w:rsidRPr="006035C4">
        <w:rPr>
          <w:rFonts w:asciiTheme="minorBidi" w:eastAsia="MS Mincho" w:hAnsiTheme="minorBidi"/>
          <w:b/>
          <w:bCs/>
          <w:color w:val="000000"/>
          <w:sz w:val="20"/>
          <w:szCs w:val="20"/>
        </w:rPr>
        <w:t>Table 3. Correlation Analysis of Key Anemia Management Indicators</w:t>
      </w:r>
    </w:p>
    <w:p w14:paraId="605C6B09" w14:textId="77777777" w:rsidR="006035C4" w:rsidRPr="006035C4" w:rsidRDefault="006035C4" w:rsidP="007746C3">
      <w:pPr>
        <w:spacing w:after="0" w:line="240" w:lineRule="auto"/>
        <w:jc w:val="both"/>
        <w:rPr>
          <w:rFonts w:asciiTheme="minorBidi" w:eastAsia="MS Mincho" w:hAnsiTheme="minorBidi"/>
          <w:b/>
          <w:bCs/>
          <w:color w:val="000000"/>
          <w:sz w:val="20"/>
          <w:szCs w:val="20"/>
        </w:rPr>
      </w:pPr>
    </w:p>
    <w:tbl>
      <w:tblPr>
        <w:tblStyle w:val="TableGridLight"/>
        <w:tblW w:w="0" w:type="auto"/>
        <w:tblLook w:val="04A0" w:firstRow="1" w:lastRow="0" w:firstColumn="1" w:lastColumn="0" w:noHBand="0" w:noVBand="1"/>
      </w:tblPr>
      <w:tblGrid>
        <w:gridCol w:w="4144"/>
        <w:gridCol w:w="2215"/>
        <w:gridCol w:w="2449"/>
      </w:tblGrid>
      <w:tr w:rsidR="00000CB3" w:rsidRPr="006035C4" w14:paraId="55EC585F" w14:textId="77777777" w:rsidTr="00AB5B55">
        <w:tc>
          <w:tcPr>
            <w:tcW w:w="0" w:type="auto"/>
            <w:hideMark/>
          </w:tcPr>
          <w:p w14:paraId="741F8D1B" w14:textId="77777777" w:rsidR="00000CB3" w:rsidRPr="006035C4" w:rsidRDefault="00000CB3" w:rsidP="007746C3">
            <w:pPr>
              <w:jc w:val="center"/>
              <w:rPr>
                <w:rFonts w:ascii="PMingLiU" w:eastAsia="PMingLiU" w:hAnsi="PMingLiU"/>
                <w:b/>
                <w:bCs/>
                <w:color w:val="000000"/>
                <w:sz w:val="20"/>
                <w:szCs w:val="20"/>
              </w:rPr>
            </w:pPr>
            <w:r w:rsidRPr="006035C4">
              <w:rPr>
                <w:rFonts w:ascii="PMingLiU" w:eastAsia="PMingLiU" w:hAnsi="PMingLiU"/>
                <w:b/>
                <w:bCs/>
                <w:color w:val="000000"/>
                <w:sz w:val="20"/>
                <w:szCs w:val="20"/>
              </w:rPr>
              <w:t>Indicators Compared</w:t>
            </w:r>
          </w:p>
        </w:tc>
        <w:tc>
          <w:tcPr>
            <w:tcW w:w="0" w:type="auto"/>
            <w:hideMark/>
          </w:tcPr>
          <w:p w14:paraId="79752E14" w14:textId="77777777" w:rsidR="00000CB3" w:rsidRPr="006035C4" w:rsidRDefault="00000CB3" w:rsidP="007746C3">
            <w:pPr>
              <w:jc w:val="center"/>
              <w:rPr>
                <w:rFonts w:ascii="PMingLiU" w:eastAsia="PMingLiU" w:hAnsi="PMingLiU"/>
                <w:b/>
                <w:bCs/>
                <w:color w:val="000000"/>
                <w:sz w:val="20"/>
                <w:szCs w:val="20"/>
              </w:rPr>
            </w:pPr>
            <w:r w:rsidRPr="006035C4">
              <w:rPr>
                <w:rFonts w:ascii="PMingLiU" w:eastAsia="PMingLiU" w:hAnsi="PMingLiU"/>
                <w:b/>
                <w:bCs/>
                <w:color w:val="000000"/>
                <w:sz w:val="20"/>
                <w:szCs w:val="20"/>
              </w:rPr>
              <w:t>Correlation Coefficient (r)</w:t>
            </w:r>
          </w:p>
        </w:tc>
        <w:tc>
          <w:tcPr>
            <w:tcW w:w="0" w:type="auto"/>
            <w:hideMark/>
          </w:tcPr>
          <w:p w14:paraId="1F75BD6A" w14:textId="77777777" w:rsidR="00000CB3" w:rsidRPr="006035C4" w:rsidRDefault="00000CB3" w:rsidP="007746C3">
            <w:pPr>
              <w:jc w:val="center"/>
              <w:rPr>
                <w:rFonts w:ascii="PMingLiU" w:eastAsia="PMingLiU" w:hAnsi="PMingLiU"/>
                <w:b/>
                <w:bCs/>
                <w:color w:val="000000"/>
                <w:sz w:val="20"/>
                <w:szCs w:val="20"/>
              </w:rPr>
            </w:pPr>
            <w:r w:rsidRPr="006035C4">
              <w:rPr>
                <w:rFonts w:ascii="PMingLiU" w:eastAsia="PMingLiU" w:hAnsi="PMingLiU"/>
                <w:b/>
                <w:bCs/>
                <w:color w:val="000000"/>
                <w:sz w:val="20"/>
                <w:szCs w:val="20"/>
              </w:rPr>
              <w:t>Strength &amp; Direction</w:t>
            </w:r>
          </w:p>
        </w:tc>
      </w:tr>
      <w:tr w:rsidR="00000CB3" w:rsidRPr="006035C4" w14:paraId="39AEA081" w14:textId="77777777" w:rsidTr="00AB5B55">
        <w:tc>
          <w:tcPr>
            <w:tcW w:w="0" w:type="auto"/>
            <w:hideMark/>
          </w:tcPr>
          <w:p w14:paraId="67072654" w14:textId="77777777" w:rsidR="00000CB3" w:rsidRPr="006035C4" w:rsidRDefault="00000CB3" w:rsidP="007746C3">
            <w:pPr>
              <w:jc w:val="center"/>
              <w:rPr>
                <w:rFonts w:ascii="PMingLiU" w:eastAsia="PMingLiU" w:hAnsi="PMingLiU"/>
                <w:color w:val="000000"/>
                <w:sz w:val="20"/>
                <w:szCs w:val="20"/>
              </w:rPr>
            </w:pPr>
            <w:r w:rsidRPr="006035C4">
              <w:rPr>
                <w:rFonts w:ascii="PMingLiU" w:eastAsia="PMingLiU" w:hAnsi="PMingLiU"/>
                <w:color w:val="000000"/>
                <w:sz w:val="20"/>
                <w:szCs w:val="20"/>
              </w:rPr>
              <w:t>ESA dose adjustments vs. Hb maintenance</w:t>
            </w:r>
          </w:p>
        </w:tc>
        <w:tc>
          <w:tcPr>
            <w:tcW w:w="0" w:type="auto"/>
            <w:hideMark/>
          </w:tcPr>
          <w:p w14:paraId="185651FD" w14:textId="77777777" w:rsidR="00000CB3" w:rsidRPr="006035C4" w:rsidRDefault="00000CB3" w:rsidP="007746C3">
            <w:pPr>
              <w:jc w:val="center"/>
              <w:rPr>
                <w:rFonts w:ascii="PMingLiU" w:eastAsia="PMingLiU" w:hAnsi="PMingLiU"/>
                <w:color w:val="000000"/>
                <w:sz w:val="20"/>
                <w:szCs w:val="20"/>
              </w:rPr>
            </w:pPr>
            <w:r w:rsidRPr="006035C4">
              <w:rPr>
                <w:rFonts w:ascii="PMingLiU" w:eastAsia="PMingLiU" w:hAnsi="PMingLiU"/>
                <w:color w:val="000000"/>
                <w:sz w:val="20"/>
                <w:szCs w:val="20"/>
              </w:rPr>
              <w:t>&gt; 0.70</w:t>
            </w:r>
          </w:p>
        </w:tc>
        <w:tc>
          <w:tcPr>
            <w:tcW w:w="0" w:type="auto"/>
            <w:hideMark/>
          </w:tcPr>
          <w:p w14:paraId="429418D9" w14:textId="77777777" w:rsidR="00000CB3" w:rsidRPr="006035C4" w:rsidRDefault="00000CB3" w:rsidP="007746C3">
            <w:pPr>
              <w:jc w:val="center"/>
              <w:rPr>
                <w:rFonts w:ascii="PMingLiU" w:eastAsia="PMingLiU" w:hAnsi="PMingLiU"/>
                <w:color w:val="000000"/>
                <w:sz w:val="20"/>
                <w:szCs w:val="20"/>
              </w:rPr>
            </w:pPr>
            <w:r w:rsidRPr="006035C4">
              <w:rPr>
                <w:rFonts w:ascii="PMingLiU" w:eastAsia="PMingLiU" w:hAnsi="PMingLiU"/>
                <w:color w:val="000000"/>
                <w:sz w:val="20"/>
                <w:szCs w:val="20"/>
              </w:rPr>
              <w:t>Strong positive correlation</w:t>
            </w:r>
          </w:p>
        </w:tc>
      </w:tr>
      <w:tr w:rsidR="00000CB3" w:rsidRPr="006035C4" w14:paraId="229AF2D6" w14:textId="77777777" w:rsidTr="00AB5B55">
        <w:tc>
          <w:tcPr>
            <w:tcW w:w="0" w:type="auto"/>
            <w:hideMark/>
          </w:tcPr>
          <w:p w14:paraId="7B503EAA" w14:textId="77777777" w:rsidR="00000CB3" w:rsidRPr="006035C4" w:rsidRDefault="00000CB3" w:rsidP="007746C3">
            <w:pPr>
              <w:jc w:val="center"/>
              <w:rPr>
                <w:rFonts w:ascii="PMingLiU" w:eastAsia="PMingLiU" w:hAnsi="PMingLiU"/>
                <w:color w:val="000000"/>
                <w:sz w:val="20"/>
                <w:szCs w:val="20"/>
              </w:rPr>
            </w:pPr>
            <w:r w:rsidRPr="006035C4">
              <w:rPr>
                <w:rFonts w:ascii="PMingLiU" w:eastAsia="PMingLiU" w:hAnsi="PMingLiU"/>
                <w:color w:val="000000"/>
                <w:sz w:val="20"/>
                <w:szCs w:val="20"/>
              </w:rPr>
              <w:t>Iron profile monitoring vs. Hb maintenance</w:t>
            </w:r>
          </w:p>
        </w:tc>
        <w:tc>
          <w:tcPr>
            <w:tcW w:w="0" w:type="auto"/>
            <w:hideMark/>
          </w:tcPr>
          <w:p w14:paraId="5080FCBD" w14:textId="77777777" w:rsidR="00000CB3" w:rsidRPr="006035C4" w:rsidRDefault="00000CB3" w:rsidP="007746C3">
            <w:pPr>
              <w:jc w:val="center"/>
              <w:rPr>
                <w:rFonts w:ascii="PMingLiU" w:eastAsia="PMingLiU" w:hAnsi="PMingLiU"/>
                <w:color w:val="000000"/>
                <w:sz w:val="20"/>
                <w:szCs w:val="20"/>
              </w:rPr>
            </w:pPr>
            <w:r w:rsidRPr="006035C4">
              <w:rPr>
                <w:rFonts w:ascii="Cambria Math" w:eastAsia="PMingLiU" w:hAnsi="Cambria Math" w:cs="Cambria Math"/>
                <w:color w:val="000000"/>
                <w:sz w:val="20"/>
                <w:szCs w:val="20"/>
              </w:rPr>
              <w:t>≈</w:t>
            </w:r>
            <w:r w:rsidRPr="006035C4">
              <w:rPr>
                <w:rFonts w:ascii="PMingLiU" w:eastAsia="PMingLiU" w:hAnsi="PMingLiU"/>
                <w:color w:val="000000"/>
                <w:sz w:val="20"/>
                <w:szCs w:val="20"/>
              </w:rPr>
              <w:t xml:space="preserve"> 0.50</w:t>
            </w:r>
          </w:p>
        </w:tc>
        <w:tc>
          <w:tcPr>
            <w:tcW w:w="0" w:type="auto"/>
            <w:hideMark/>
          </w:tcPr>
          <w:p w14:paraId="7F6CB799" w14:textId="77777777" w:rsidR="00000CB3" w:rsidRPr="006035C4" w:rsidRDefault="00000CB3" w:rsidP="007746C3">
            <w:pPr>
              <w:jc w:val="center"/>
              <w:rPr>
                <w:rFonts w:ascii="PMingLiU" w:eastAsia="PMingLiU" w:hAnsi="PMingLiU"/>
                <w:color w:val="000000"/>
                <w:sz w:val="20"/>
                <w:szCs w:val="20"/>
              </w:rPr>
            </w:pPr>
            <w:r w:rsidRPr="006035C4">
              <w:rPr>
                <w:rFonts w:ascii="PMingLiU" w:eastAsia="PMingLiU" w:hAnsi="PMingLiU"/>
                <w:color w:val="000000"/>
                <w:sz w:val="20"/>
                <w:szCs w:val="20"/>
              </w:rPr>
              <w:t>Moderate positive correlation</w:t>
            </w:r>
          </w:p>
        </w:tc>
      </w:tr>
      <w:tr w:rsidR="00000CB3" w:rsidRPr="006035C4" w14:paraId="26DB3AA5" w14:textId="77777777" w:rsidTr="00AB5B55">
        <w:tc>
          <w:tcPr>
            <w:tcW w:w="0" w:type="auto"/>
            <w:hideMark/>
          </w:tcPr>
          <w:p w14:paraId="2D62D369" w14:textId="77777777" w:rsidR="00000CB3" w:rsidRPr="006035C4" w:rsidRDefault="00000CB3" w:rsidP="007746C3">
            <w:pPr>
              <w:jc w:val="center"/>
              <w:rPr>
                <w:rFonts w:ascii="PMingLiU" w:eastAsia="PMingLiU" w:hAnsi="PMingLiU"/>
                <w:color w:val="000000"/>
                <w:sz w:val="20"/>
                <w:szCs w:val="20"/>
              </w:rPr>
            </w:pPr>
            <w:r w:rsidRPr="006035C4">
              <w:rPr>
                <w:rFonts w:ascii="PMingLiU" w:eastAsia="PMingLiU" w:hAnsi="PMingLiU"/>
                <w:color w:val="000000"/>
                <w:sz w:val="20"/>
                <w:szCs w:val="20"/>
              </w:rPr>
              <w:t>Patient education vs. ESA dose adjustments</w:t>
            </w:r>
          </w:p>
        </w:tc>
        <w:tc>
          <w:tcPr>
            <w:tcW w:w="0" w:type="auto"/>
            <w:hideMark/>
          </w:tcPr>
          <w:p w14:paraId="43552A8D" w14:textId="77777777" w:rsidR="00000CB3" w:rsidRPr="006035C4" w:rsidRDefault="00000CB3" w:rsidP="007746C3">
            <w:pPr>
              <w:jc w:val="center"/>
              <w:rPr>
                <w:rFonts w:ascii="PMingLiU" w:eastAsia="PMingLiU" w:hAnsi="PMingLiU"/>
                <w:color w:val="000000"/>
                <w:sz w:val="20"/>
                <w:szCs w:val="20"/>
              </w:rPr>
            </w:pPr>
            <w:r w:rsidRPr="006035C4">
              <w:rPr>
                <w:rFonts w:ascii="Cambria Math" w:eastAsia="PMingLiU" w:hAnsi="Cambria Math" w:cs="Cambria Math"/>
                <w:color w:val="000000"/>
                <w:sz w:val="20"/>
                <w:szCs w:val="20"/>
              </w:rPr>
              <w:t>≈</w:t>
            </w:r>
            <w:r w:rsidRPr="006035C4">
              <w:rPr>
                <w:rFonts w:ascii="PMingLiU" w:eastAsia="PMingLiU" w:hAnsi="PMingLiU"/>
                <w:color w:val="000000"/>
                <w:sz w:val="20"/>
                <w:szCs w:val="20"/>
              </w:rPr>
              <w:t xml:space="preserve"> 0.55</w:t>
            </w:r>
          </w:p>
        </w:tc>
        <w:tc>
          <w:tcPr>
            <w:tcW w:w="0" w:type="auto"/>
            <w:hideMark/>
          </w:tcPr>
          <w:p w14:paraId="354E4109" w14:textId="77777777" w:rsidR="00000CB3" w:rsidRPr="006035C4" w:rsidRDefault="00000CB3" w:rsidP="007746C3">
            <w:pPr>
              <w:jc w:val="center"/>
              <w:rPr>
                <w:rFonts w:ascii="PMingLiU" w:eastAsia="PMingLiU" w:hAnsi="PMingLiU"/>
                <w:color w:val="000000"/>
                <w:sz w:val="20"/>
                <w:szCs w:val="20"/>
              </w:rPr>
            </w:pPr>
            <w:r w:rsidRPr="006035C4">
              <w:rPr>
                <w:rFonts w:ascii="PMingLiU" w:eastAsia="PMingLiU" w:hAnsi="PMingLiU"/>
                <w:color w:val="000000"/>
                <w:sz w:val="20"/>
                <w:szCs w:val="20"/>
              </w:rPr>
              <w:t>Moderate positive correlation</w:t>
            </w:r>
          </w:p>
        </w:tc>
      </w:tr>
      <w:tr w:rsidR="00000CB3" w:rsidRPr="006035C4" w14:paraId="0071ECA6" w14:textId="77777777" w:rsidTr="00AB5B55">
        <w:tc>
          <w:tcPr>
            <w:tcW w:w="0" w:type="auto"/>
            <w:hideMark/>
          </w:tcPr>
          <w:p w14:paraId="436587A9" w14:textId="77777777" w:rsidR="00000CB3" w:rsidRPr="006035C4" w:rsidRDefault="00000CB3" w:rsidP="007746C3">
            <w:pPr>
              <w:jc w:val="center"/>
              <w:rPr>
                <w:rFonts w:ascii="PMingLiU" w:eastAsia="PMingLiU" w:hAnsi="PMingLiU"/>
                <w:color w:val="000000"/>
                <w:sz w:val="20"/>
                <w:szCs w:val="20"/>
              </w:rPr>
            </w:pPr>
            <w:r w:rsidRPr="006035C4">
              <w:rPr>
                <w:rFonts w:ascii="PMingLiU" w:eastAsia="PMingLiU" w:hAnsi="PMingLiU"/>
                <w:color w:val="000000"/>
                <w:sz w:val="20"/>
                <w:szCs w:val="20"/>
              </w:rPr>
              <w:t>Iron deficiency correction vs. timely Hb monitoring</w:t>
            </w:r>
          </w:p>
        </w:tc>
        <w:tc>
          <w:tcPr>
            <w:tcW w:w="0" w:type="auto"/>
            <w:hideMark/>
          </w:tcPr>
          <w:p w14:paraId="29122F52" w14:textId="77777777" w:rsidR="00000CB3" w:rsidRPr="006035C4" w:rsidRDefault="00000CB3" w:rsidP="007746C3">
            <w:pPr>
              <w:jc w:val="center"/>
              <w:rPr>
                <w:rFonts w:ascii="PMingLiU" w:eastAsia="PMingLiU" w:hAnsi="PMingLiU"/>
                <w:color w:val="000000"/>
                <w:sz w:val="20"/>
                <w:szCs w:val="20"/>
              </w:rPr>
            </w:pPr>
            <w:r w:rsidRPr="006035C4">
              <w:rPr>
                <w:rFonts w:ascii="Cambria Math" w:eastAsia="PMingLiU" w:hAnsi="Cambria Math" w:cs="Cambria Math"/>
                <w:color w:val="000000"/>
                <w:sz w:val="20"/>
                <w:szCs w:val="20"/>
              </w:rPr>
              <w:t>≈</w:t>
            </w:r>
            <w:r w:rsidRPr="006035C4">
              <w:rPr>
                <w:rFonts w:ascii="PMingLiU" w:eastAsia="PMingLiU" w:hAnsi="PMingLiU"/>
                <w:color w:val="000000"/>
                <w:sz w:val="20"/>
                <w:szCs w:val="20"/>
              </w:rPr>
              <w:t xml:space="preserve"> 0.60</w:t>
            </w:r>
          </w:p>
        </w:tc>
        <w:tc>
          <w:tcPr>
            <w:tcW w:w="0" w:type="auto"/>
            <w:hideMark/>
          </w:tcPr>
          <w:p w14:paraId="39AE16DC" w14:textId="77777777" w:rsidR="00000CB3" w:rsidRPr="006035C4" w:rsidRDefault="00000CB3" w:rsidP="007746C3">
            <w:pPr>
              <w:jc w:val="center"/>
              <w:rPr>
                <w:rFonts w:ascii="PMingLiU" w:eastAsia="PMingLiU" w:hAnsi="PMingLiU"/>
                <w:color w:val="000000"/>
                <w:sz w:val="20"/>
                <w:szCs w:val="20"/>
              </w:rPr>
            </w:pPr>
            <w:r w:rsidRPr="006035C4">
              <w:rPr>
                <w:rFonts w:ascii="PMingLiU" w:eastAsia="PMingLiU" w:hAnsi="PMingLiU"/>
                <w:color w:val="000000"/>
                <w:sz w:val="20"/>
                <w:szCs w:val="20"/>
              </w:rPr>
              <w:t>Moderate positive correlation</w:t>
            </w:r>
          </w:p>
        </w:tc>
      </w:tr>
      <w:tr w:rsidR="00000CB3" w:rsidRPr="006035C4" w14:paraId="3ED86E79" w14:textId="77777777" w:rsidTr="00AB5B55">
        <w:tc>
          <w:tcPr>
            <w:tcW w:w="0" w:type="auto"/>
            <w:hideMark/>
          </w:tcPr>
          <w:p w14:paraId="2D903EC6" w14:textId="77777777" w:rsidR="00000CB3" w:rsidRPr="006035C4" w:rsidRDefault="00000CB3" w:rsidP="007746C3">
            <w:pPr>
              <w:jc w:val="center"/>
              <w:rPr>
                <w:rFonts w:ascii="PMingLiU" w:eastAsia="PMingLiU" w:hAnsi="PMingLiU"/>
                <w:color w:val="000000"/>
                <w:sz w:val="20"/>
                <w:szCs w:val="20"/>
              </w:rPr>
            </w:pPr>
            <w:r w:rsidRPr="006035C4">
              <w:rPr>
                <w:rFonts w:ascii="PMingLiU" w:eastAsia="PMingLiU" w:hAnsi="PMingLiU"/>
                <w:color w:val="000000"/>
                <w:sz w:val="20"/>
                <w:szCs w:val="20"/>
              </w:rPr>
              <w:t>Anemia screening vs. other indicators</w:t>
            </w:r>
          </w:p>
        </w:tc>
        <w:tc>
          <w:tcPr>
            <w:tcW w:w="0" w:type="auto"/>
            <w:hideMark/>
          </w:tcPr>
          <w:p w14:paraId="11C4FAB0" w14:textId="77777777" w:rsidR="00000CB3" w:rsidRPr="006035C4" w:rsidRDefault="00000CB3" w:rsidP="007746C3">
            <w:pPr>
              <w:jc w:val="center"/>
              <w:rPr>
                <w:rFonts w:ascii="PMingLiU" w:eastAsia="PMingLiU" w:hAnsi="PMingLiU"/>
                <w:color w:val="000000"/>
                <w:sz w:val="20"/>
                <w:szCs w:val="20"/>
              </w:rPr>
            </w:pPr>
            <w:r w:rsidRPr="006035C4">
              <w:rPr>
                <w:rFonts w:ascii="PMingLiU" w:eastAsia="PMingLiU" w:hAnsi="PMingLiU"/>
                <w:color w:val="000000"/>
                <w:sz w:val="20"/>
                <w:szCs w:val="20"/>
              </w:rPr>
              <w:t>&lt; 0.30</w:t>
            </w:r>
          </w:p>
        </w:tc>
        <w:tc>
          <w:tcPr>
            <w:tcW w:w="0" w:type="auto"/>
            <w:hideMark/>
          </w:tcPr>
          <w:p w14:paraId="4CD1FF3A" w14:textId="77777777" w:rsidR="00000CB3" w:rsidRPr="006035C4" w:rsidRDefault="00000CB3" w:rsidP="007746C3">
            <w:pPr>
              <w:jc w:val="center"/>
              <w:rPr>
                <w:rFonts w:ascii="PMingLiU" w:eastAsia="PMingLiU" w:hAnsi="PMingLiU"/>
                <w:color w:val="000000"/>
                <w:sz w:val="20"/>
                <w:szCs w:val="20"/>
              </w:rPr>
            </w:pPr>
            <w:r w:rsidRPr="006035C4">
              <w:rPr>
                <w:rFonts w:ascii="PMingLiU" w:eastAsia="PMingLiU" w:hAnsi="PMingLiU"/>
                <w:color w:val="000000"/>
                <w:sz w:val="20"/>
                <w:szCs w:val="20"/>
              </w:rPr>
              <w:t>Weak correlation</w:t>
            </w:r>
          </w:p>
        </w:tc>
      </w:tr>
    </w:tbl>
    <w:p w14:paraId="4BD2D52D" w14:textId="77777777" w:rsidR="00AB5B55" w:rsidRDefault="00AB5B55" w:rsidP="007746C3">
      <w:pPr>
        <w:spacing w:after="0" w:line="240" w:lineRule="auto"/>
        <w:jc w:val="both"/>
        <w:rPr>
          <w:rFonts w:asciiTheme="minorBidi" w:eastAsia="MS Mincho" w:hAnsiTheme="minorBidi"/>
          <w:color w:val="000000"/>
          <w:sz w:val="24"/>
          <w:szCs w:val="24"/>
        </w:rPr>
      </w:pPr>
    </w:p>
    <w:p w14:paraId="1BE68393" w14:textId="44E67A9A" w:rsidR="00723BCF" w:rsidRPr="007746C3" w:rsidRDefault="00723BCF" w:rsidP="007746C3">
      <w:pPr>
        <w:spacing w:after="0" w:line="240" w:lineRule="auto"/>
        <w:rPr>
          <w:rFonts w:asciiTheme="minorBidi" w:eastAsia="Times New Roman" w:hAnsiTheme="minorBidi"/>
          <w:b/>
          <w:bCs/>
          <w:kern w:val="36"/>
          <w:sz w:val="24"/>
          <w:szCs w:val="24"/>
        </w:rPr>
      </w:pPr>
      <w:r w:rsidRPr="007746C3">
        <w:rPr>
          <w:rFonts w:asciiTheme="minorBidi" w:eastAsia="Times New Roman" w:hAnsiTheme="minorBidi"/>
          <w:b/>
          <w:bCs/>
          <w:kern w:val="36"/>
          <w:sz w:val="24"/>
          <w:szCs w:val="24"/>
        </w:rPr>
        <w:t>Discussion</w:t>
      </w:r>
    </w:p>
    <w:p w14:paraId="7552637C" w14:textId="0BBD0B27" w:rsidR="00723BCF" w:rsidRPr="006035C4" w:rsidRDefault="00723BCF" w:rsidP="007746C3">
      <w:pPr>
        <w:spacing w:after="0" w:line="240" w:lineRule="auto"/>
        <w:jc w:val="both"/>
        <w:rPr>
          <w:rFonts w:ascii="PMingLiU" w:eastAsia="PMingLiU" w:hAnsi="PMingLiU"/>
          <w:sz w:val="24"/>
          <w:szCs w:val="24"/>
        </w:rPr>
      </w:pPr>
      <w:r w:rsidRPr="006035C4">
        <w:rPr>
          <w:rFonts w:ascii="PMingLiU" w:eastAsia="PMingLiU" w:hAnsi="PMingLiU"/>
          <w:sz w:val="24"/>
          <w:szCs w:val="24"/>
        </w:rPr>
        <w:t>This clinical audit evaluated adherence to key anemia management indicators among patients receiving maintenance hemodialysis (MHD) and revealed a mixed pattern of strengths and gaps within the existing care processes. Overall, the results demonstrate high compliance in areas directly integrated into routine dialysis workflow—such as anemia screening, ESA titration, hemoglobin monitoring after ESA initiation, and patient education—yet substantial deficiencies persist in iron-related documentation and monitoring. These findings mirror trends reported globally over the past decade, particularly in low- and middle-income countries where anemia management practices remain highly variable.</w:t>
      </w:r>
      <w:r w:rsidR="006035C4" w:rsidRPr="006035C4">
        <w:rPr>
          <w:rFonts w:ascii="PMingLiU" w:eastAsia="PMingLiU" w:hAnsi="PMingLiU"/>
          <w:sz w:val="24"/>
          <w:szCs w:val="24"/>
          <w:vertAlign w:val="superscript"/>
        </w:rPr>
        <w:t>10-12</w:t>
      </w:r>
      <w:r w:rsidRPr="006035C4">
        <w:rPr>
          <w:rFonts w:ascii="PMingLiU" w:eastAsia="PMingLiU" w:hAnsi="PMingLiU"/>
          <w:sz w:val="24"/>
          <w:szCs w:val="24"/>
        </w:rPr>
        <w:t xml:space="preserve"> </w:t>
      </w:r>
    </w:p>
    <w:p w14:paraId="2D72C03D" w14:textId="77777777" w:rsidR="006035C4" w:rsidRPr="006035C4" w:rsidRDefault="006035C4" w:rsidP="007746C3">
      <w:pPr>
        <w:spacing w:after="0" w:line="240" w:lineRule="auto"/>
        <w:jc w:val="both"/>
        <w:rPr>
          <w:rFonts w:ascii="PMingLiU" w:eastAsia="PMingLiU" w:hAnsi="PMingLiU"/>
          <w:sz w:val="20"/>
          <w:szCs w:val="20"/>
        </w:rPr>
      </w:pPr>
    </w:p>
    <w:p w14:paraId="00441C98" w14:textId="6165BD45" w:rsidR="00723BCF" w:rsidRPr="006035C4" w:rsidRDefault="00723BCF" w:rsidP="007746C3">
      <w:pPr>
        <w:spacing w:after="0" w:line="240" w:lineRule="auto"/>
        <w:jc w:val="both"/>
        <w:rPr>
          <w:rFonts w:ascii="PMingLiU" w:eastAsia="PMingLiU" w:hAnsi="PMingLiU"/>
          <w:sz w:val="24"/>
          <w:szCs w:val="24"/>
        </w:rPr>
      </w:pPr>
      <w:r w:rsidRPr="006035C4">
        <w:rPr>
          <w:rFonts w:ascii="PMingLiU" w:eastAsia="PMingLiU" w:hAnsi="PMingLiU"/>
          <w:sz w:val="24"/>
          <w:szCs w:val="24"/>
        </w:rPr>
        <w:t>Near-universal screening for anemia and consistent monitoring of hemoglobin levels following ESA initiation align with international recommendations emphasizing the importance of timely assessment to ensure safe and effective therapy.</w:t>
      </w:r>
      <w:r w:rsidRPr="006035C4">
        <w:rPr>
          <w:rFonts w:ascii="PMingLiU" w:eastAsia="PMingLiU" w:hAnsi="PMingLiU"/>
          <w:sz w:val="24"/>
          <w:szCs w:val="24"/>
          <w:vertAlign w:val="superscript"/>
        </w:rPr>
        <w:t>13–15</w:t>
      </w:r>
      <w:r w:rsidRPr="006035C4">
        <w:rPr>
          <w:rFonts w:ascii="PMingLiU" w:eastAsia="PMingLiU" w:hAnsi="PMingLiU"/>
          <w:sz w:val="24"/>
          <w:szCs w:val="24"/>
        </w:rPr>
        <w:t xml:space="preserve"> The strong performance in ESA dosing and patient education also reflects effective adherence to protocol-driven tasks often embedded into dialysis workflows. Similar studies from India, Malaysia, and the Middle East have shown comparable success in ESA-related adherence, reporting compliance rates above 80% when structured protocols are utilized.</w:t>
      </w:r>
      <w:r w:rsidR="006035C4" w:rsidRPr="006035C4">
        <w:rPr>
          <w:rFonts w:ascii="PMingLiU" w:eastAsia="PMingLiU" w:hAnsi="PMingLiU"/>
          <w:sz w:val="24"/>
          <w:szCs w:val="24"/>
          <w:vertAlign w:val="superscript"/>
        </w:rPr>
        <w:t>16</w:t>
      </w:r>
    </w:p>
    <w:p w14:paraId="6818716D" w14:textId="77777777" w:rsidR="006035C4" w:rsidRDefault="00723BCF" w:rsidP="007746C3">
      <w:pPr>
        <w:spacing w:after="0" w:line="240" w:lineRule="auto"/>
        <w:jc w:val="both"/>
        <w:rPr>
          <w:rFonts w:ascii="PMingLiU" w:eastAsia="PMingLiU" w:hAnsi="PMingLiU"/>
          <w:sz w:val="24"/>
          <w:szCs w:val="24"/>
        </w:rPr>
      </w:pPr>
      <w:r w:rsidRPr="006035C4">
        <w:rPr>
          <w:rFonts w:ascii="PMingLiU" w:eastAsia="PMingLiU" w:hAnsi="PMingLiU"/>
          <w:sz w:val="24"/>
          <w:szCs w:val="24"/>
        </w:rPr>
        <w:t>Moreover, the majority of patients had iron deficiency corrected before ESA initiation, which is consistent with KDIGO 2021 guidance advocating for repletion of iron stores to enhance ESA response and reduce dosing burden.</w:t>
      </w:r>
      <w:r w:rsidR="006035C4" w:rsidRPr="006035C4">
        <w:rPr>
          <w:rFonts w:ascii="PMingLiU" w:eastAsia="PMingLiU" w:hAnsi="PMingLiU"/>
          <w:sz w:val="24"/>
          <w:szCs w:val="24"/>
          <w:vertAlign w:val="superscript"/>
        </w:rPr>
        <w:t>4</w:t>
      </w:r>
      <w:r w:rsidRPr="006035C4">
        <w:rPr>
          <w:rFonts w:ascii="PMingLiU" w:eastAsia="PMingLiU" w:hAnsi="PMingLiU"/>
          <w:sz w:val="24"/>
          <w:szCs w:val="24"/>
        </w:rPr>
        <w:t xml:space="preserve"> </w:t>
      </w:r>
    </w:p>
    <w:p w14:paraId="647F6A9C" w14:textId="77777777" w:rsidR="006035C4" w:rsidRDefault="006035C4" w:rsidP="007746C3">
      <w:pPr>
        <w:spacing w:after="0" w:line="240" w:lineRule="auto"/>
        <w:jc w:val="both"/>
        <w:rPr>
          <w:rFonts w:ascii="PMingLiU" w:eastAsia="PMingLiU" w:hAnsi="PMingLiU"/>
          <w:sz w:val="24"/>
          <w:szCs w:val="24"/>
        </w:rPr>
      </w:pPr>
    </w:p>
    <w:p w14:paraId="6942A777" w14:textId="77777777" w:rsidR="006035C4" w:rsidRDefault="00723BCF" w:rsidP="007746C3">
      <w:pPr>
        <w:spacing w:after="0" w:line="240" w:lineRule="auto"/>
        <w:jc w:val="both"/>
        <w:rPr>
          <w:rFonts w:ascii="PMingLiU" w:eastAsia="PMingLiU" w:hAnsi="PMingLiU"/>
          <w:sz w:val="24"/>
          <w:szCs w:val="24"/>
        </w:rPr>
      </w:pPr>
      <w:r w:rsidRPr="006035C4">
        <w:rPr>
          <w:rFonts w:ascii="PMingLiU" w:eastAsia="PMingLiU" w:hAnsi="PMingLiU"/>
          <w:sz w:val="24"/>
          <w:szCs w:val="24"/>
        </w:rPr>
        <w:lastRenderedPageBreak/>
        <w:t>Studies over the past decade similarly highlight that early correction of iron deficiency improves hemoglobin stability and reduces ESA resistance, particularly in older dialysis populations.</w:t>
      </w:r>
      <w:r w:rsidRPr="006035C4">
        <w:rPr>
          <w:rFonts w:ascii="PMingLiU" w:eastAsia="PMingLiU" w:hAnsi="PMingLiU"/>
          <w:sz w:val="24"/>
          <w:szCs w:val="24"/>
          <w:vertAlign w:val="superscript"/>
        </w:rPr>
        <w:t>1</w:t>
      </w:r>
      <w:r w:rsidR="00562000" w:rsidRPr="006035C4">
        <w:rPr>
          <w:rFonts w:ascii="PMingLiU" w:eastAsia="PMingLiU" w:hAnsi="PMingLiU"/>
          <w:sz w:val="24"/>
          <w:szCs w:val="24"/>
          <w:vertAlign w:val="superscript"/>
        </w:rPr>
        <w:t>7</w:t>
      </w:r>
      <w:r w:rsidRPr="006035C4">
        <w:rPr>
          <w:rFonts w:ascii="PMingLiU" w:eastAsia="PMingLiU" w:hAnsi="PMingLiU"/>
          <w:sz w:val="24"/>
          <w:szCs w:val="24"/>
        </w:rPr>
        <w:t xml:space="preserve">Although screening and ESA titration were highly compliant, only 62.9% of </w:t>
      </w:r>
      <w:proofErr w:type="gramStart"/>
      <w:r w:rsidRPr="006035C4">
        <w:rPr>
          <w:rFonts w:ascii="PMingLiU" w:eastAsia="PMingLiU" w:hAnsi="PMingLiU"/>
          <w:sz w:val="24"/>
          <w:szCs w:val="24"/>
        </w:rPr>
        <w:t>patients maintained</w:t>
      </w:r>
      <w:proofErr w:type="gramEnd"/>
      <w:r w:rsidRPr="006035C4">
        <w:rPr>
          <w:rFonts w:ascii="PMingLiU" w:eastAsia="PMingLiU" w:hAnsi="PMingLiU"/>
          <w:sz w:val="24"/>
          <w:szCs w:val="24"/>
        </w:rPr>
        <w:t xml:space="preserve"> hemoglobin within the KDIGO-recommended target range. Contributing factors may include chronic inflammation, comorbidities, or individualized physician decision-making. Recent research suggests that despite guideline availability, many dialysis units struggle to maintain hemoglobin within narrow therapeutic windows due to fluctuating patient conditions and inconsistent follow-up intervals.</w:t>
      </w:r>
      <w:r w:rsidRPr="006035C4">
        <w:rPr>
          <w:rFonts w:ascii="PMingLiU" w:eastAsia="PMingLiU" w:hAnsi="PMingLiU"/>
          <w:sz w:val="24"/>
          <w:szCs w:val="24"/>
          <w:vertAlign w:val="superscript"/>
        </w:rPr>
        <w:t>21–23</w:t>
      </w:r>
      <w:r w:rsidRPr="006035C4">
        <w:rPr>
          <w:rFonts w:ascii="PMingLiU" w:eastAsia="PMingLiU" w:hAnsi="PMingLiU"/>
          <w:sz w:val="24"/>
          <w:szCs w:val="24"/>
        </w:rPr>
        <w:t xml:space="preserve"> </w:t>
      </w:r>
    </w:p>
    <w:p w14:paraId="7816E777" w14:textId="77777777" w:rsidR="006035C4" w:rsidRDefault="006035C4" w:rsidP="007746C3">
      <w:pPr>
        <w:spacing w:after="0" w:line="240" w:lineRule="auto"/>
        <w:jc w:val="both"/>
        <w:rPr>
          <w:rFonts w:ascii="PMingLiU" w:eastAsia="PMingLiU" w:hAnsi="PMingLiU"/>
          <w:sz w:val="24"/>
          <w:szCs w:val="24"/>
        </w:rPr>
      </w:pPr>
    </w:p>
    <w:p w14:paraId="12F9C525" w14:textId="77777777" w:rsidR="006035C4" w:rsidRDefault="00723BCF" w:rsidP="007746C3">
      <w:pPr>
        <w:spacing w:after="0" w:line="240" w:lineRule="auto"/>
        <w:jc w:val="both"/>
        <w:rPr>
          <w:rFonts w:ascii="PMingLiU" w:eastAsia="PMingLiU" w:hAnsi="PMingLiU"/>
          <w:sz w:val="24"/>
          <w:szCs w:val="24"/>
          <w:vertAlign w:val="superscript"/>
        </w:rPr>
      </w:pPr>
      <w:r w:rsidRPr="006035C4">
        <w:rPr>
          <w:rFonts w:ascii="PMingLiU" w:eastAsia="PMingLiU" w:hAnsi="PMingLiU"/>
          <w:sz w:val="24"/>
          <w:szCs w:val="24"/>
        </w:rPr>
        <w:t>Notably, male patients demonstrated better hemoglobin stability than females in this audit, a pattern also observed in multi-center studies where sex-related differences in inflammation, nutritional status, or body iron distribution influenced anemia outcomes.</w:t>
      </w:r>
      <w:r w:rsidR="00562000" w:rsidRPr="006035C4">
        <w:rPr>
          <w:rFonts w:ascii="PMingLiU" w:eastAsia="PMingLiU" w:hAnsi="PMingLiU"/>
          <w:sz w:val="24"/>
          <w:szCs w:val="24"/>
          <w:vertAlign w:val="superscript"/>
        </w:rPr>
        <w:t>2</w:t>
      </w:r>
      <w:r w:rsidR="00B449B8" w:rsidRPr="006035C4">
        <w:rPr>
          <w:rFonts w:ascii="PMingLiU" w:eastAsia="PMingLiU" w:hAnsi="PMingLiU"/>
          <w:sz w:val="24"/>
          <w:szCs w:val="24"/>
          <w:vertAlign w:val="superscript"/>
        </w:rPr>
        <w:t>1</w:t>
      </w:r>
      <w:r w:rsidR="00562000" w:rsidRPr="006035C4">
        <w:rPr>
          <w:rFonts w:ascii="PMingLiU" w:eastAsia="PMingLiU" w:hAnsi="PMingLiU"/>
          <w:sz w:val="24"/>
          <w:szCs w:val="24"/>
          <w:vertAlign w:val="superscript"/>
        </w:rPr>
        <w:t xml:space="preserve"> </w:t>
      </w:r>
      <w:r w:rsidRPr="006035C4">
        <w:rPr>
          <w:rFonts w:ascii="PMingLiU" w:eastAsia="PMingLiU" w:hAnsi="PMingLiU"/>
          <w:sz w:val="24"/>
          <w:szCs w:val="24"/>
        </w:rPr>
        <w:t>The most concerning gap identified was the markedly low rate of iron status documentation (34–36%) and quarterly iron profile monitoring (3.8–11.1%). These gaps directly contradict KDIGO recommendations, which emphasize iron indices monitoring every 3 months in patients receiving MHD.</w:t>
      </w:r>
      <w:proofErr w:type="gramStart"/>
      <w:r w:rsidR="006035C4" w:rsidRPr="006035C4">
        <w:rPr>
          <w:rFonts w:ascii="PMingLiU" w:eastAsia="PMingLiU" w:hAnsi="PMingLiU"/>
          <w:sz w:val="24"/>
          <w:szCs w:val="24"/>
          <w:vertAlign w:val="superscript"/>
        </w:rPr>
        <w:t>4</w:t>
      </w:r>
      <w:r w:rsidR="006035C4">
        <w:rPr>
          <w:rFonts w:ascii="PMingLiU" w:eastAsia="PMingLiU" w:hAnsi="PMingLiU"/>
          <w:sz w:val="24"/>
          <w:szCs w:val="24"/>
        </w:rPr>
        <w:t xml:space="preserve"> </w:t>
      </w:r>
      <w:r w:rsidRPr="006035C4">
        <w:rPr>
          <w:rFonts w:ascii="PMingLiU" w:eastAsia="PMingLiU" w:hAnsi="PMingLiU"/>
          <w:sz w:val="24"/>
          <w:szCs w:val="24"/>
        </w:rPr>
        <w:t xml:space="preserve"> Similar</w:t>
      </w:r>
      <w:proofErr w:type="gramEnd"/>
      <w:r w:rsidRPr="006035C4">
        <w:rPr>
          <w:rFonts w:ascii="PMingLiU" w:eastAsia="PMingLiU" w:hAnsi="PMingLiU"/>
          <w:sz w:val="24"/>
          <w:szCs w:val="24"/>
        </w:rPr>
        <w:t xml:space="preserve"> deficiencies have been reported in Bangladesh, Nepal, and Pakistan, where limited laboratory access, financial constraints, and inconsistent record keeping discourage routine iron evaluation.</w:t>
      </w:r>
      <w:r w:rsidR="00562000" w:rsidRPr="006035C4">
        <w:rPr>
          <w:rFonts w:ascii="PMingLiU" w:eastAsia="PMingLiU" w:hAnsi="PMingLiU"/>
          <w:sz w:val="24"/>
          <w:szCs w:val="24"/>
          <w:vertAlign w:val="superscript"/>
        </w:rPr>
        <w:t xml:space="preserve"> 11</w:t>
      </w:r>
      <w:r w:rsidRPr="006035C4">
        <w:rPr>
          <w:rFonts w:ascii="PMingLiU" w:eastAsia="PMingLiU" w:hAnsi="PMingLiU"/>
          <w:sz w:val="24"/>
          <w:szCs w:val="24"/>
          <w:vertAlign w:val="superscript"/>
        </w:rPr>
        <w:t>,</w:t>
      </w:r>
      <w:r w:rsidR="00562000" w:rsidRPr="006035C4">
        <w:rPr>
          <w:rFonts w:ascii="PMingLiU" w:eastAsia="PMingLiU" w:hAnsi="PMingLiU"/>
          <w:sz w:val="24"/>
          <w:szCs w:val="24"/>
          <w:vertAlign w:val="superscript"/>
        </w:rPr>
        <w:t>2</w:t>
      </w:r>
      <w:r w:rsidR="00B449B8" w:rsidRPr="006035C4">
        <w:rPr>
          <w:rFonts w:ascii="PMingLiU" w:eastAsia="PMingLiU" w:hAnsi="PMingLiU"/>
          <w:sz w:val="24"/>
          <w:szCs w:val="24"/>
          <w:vertAlign w:val="superscript"/>
        </w:rPr>
        <w:t>2</w:t>
      </w:r>
      <w:r w:rsidR="00562000" w:rsidRPr="006035C4">
        <w:rPr>
          <w:rFonts w:ascii="PMingLiU" w:eastAsia="PMingLiU" w:hAnsi="PMingLiU"/>
          <w:sz w:val="24"/>
          <w:szCs w:val="24"/>
          <w:vertAlign w:val="superscript"/>
        </w:rPr>
        <w:t xml:space="preserve"> </w:t>
      </w:r>
    </w:p>
    <w:p w14:paraId="6F93C4E4" w14:textId="77777777" w:rsidR="006035C4" w:rsidRDefault="006035C4" w:rsidP="007746C3">
      <w:pPr>
        <w:spacing w:after="0" w:line="240" w:lineRule="auto"/>
        <w:jc w:val="both"/>
        <w:rPr>
          <w:rFonts w:ascii="PMingLiU" w:eastAsia="PMingLiU" w:hAnsi="PMingLiU"/>
          <w:sz w:val="24"/>
          <w:szCs w:val="24"/>
          <w:vertAlign w:val="superscript"/>
        </w:rPr>
      </w:pPr>
    </w:p>
    <w:p w14:paraId="50E4722D" w14:textId="130CDD55" w:rsidR="00723BCF" w:rsidRPr="006035C4" w:rsidRDefault="00723BCF" w:rsidP="007746C3">
      <w:pPr>
        <w:spacing w:after="0" w:line="240" w:lineRule="auto"/>
        <w:jc w:val="both"/>
        <w:rPr>
          <w:rFonts w:ascii="PMingLiU" w:eastAsia="PMingLiU" w:hAnsi="PMingLiU"/>
          <w:sz w:val="24"/>
          <w:szCs w:val="24"/>
          <w:vertAlign w:val="superscript"/>
        </w:rPr>
      </w:pPr>
      <w:r w:rsidRPr="006035C4">
        <w:rPr>
          <w:rFonts w:ascii="PMingLiU" w:eastAsia="PMingLiU" w:hAnsi="PMingLiU"/>
          <w:sz w:val="24"/>
          <w:szCs w:val="24"/>
        </w:rPr>
        <w:t xml:space="preserve">Over the past decade, multiple studies have highlighted that inadequate iron monitoring is one of the strongest predictors of poor anemia control, ESA </w:t>
      </w:r>
      <w:proofErr w:type="spellStart"/>
      <w:r w:rsidRPr="006035C4">
        <w:rPr>
          <w:rFonts w:ascii="PMingLiU" w:eastAsia="PMingLiU" w:hAnsi="PMingLiU"/>
          <w:sz w:val="24"/>
          <w:szCs w:val="24"/>
        </w:rPr>
        <w:t>hyporesponsiveness</w:t>
      </w:r>
      <w:proofErr w:type="spellEnd"/>
      <w:r w:rsidRPr="006035C4">
        <w:rPr>
          <w:rFonts w:ascii="PMingLiU" w:eastAsia="PMingLiU" w:hAnsi="PMingLiU"/>
          <w:sz w:val="24"/>
          <w:szCs w:val="24"/>
        </w:rPr>
        <w:t>, and unnecessary dose escalation.</w:t>
      </w:r>
      <w:r w:rsidR="00B449B8" w:rsidRPr="006035C4">
        <w:rPr>
          <w:rFonts w:ascii="PMingLiU" w:eastAsia="PMingLiU" w:hAnsi="PMingLiU"/>
          <w:sz w:val="24"/>
          <w:szCs w:val="24"/>
          <w:vertAlign w:val="superscript"/>
        </w:rPr>
        <w:t>14</w:t>
      </w:r>
      <w:r w:rsidRPr="006035C4">
        <w:rPr>
          <w:rFonts w:ascii="PMingLiU" w:eastAsia="PMingLiU" w:hAnsi="PMingLiU"/>
          <w:sz w:val="24"/>
          <w:szCs w:val="24"/>
          <w:vertAlign w:val="superscript"/>
        </w:rPr>
        <w:t>,</w:t>
      </w:r>
      <w:r w:rsidR="00B449B8" w:rsidRPr="006035C4">
        <w:rPr>
          <w:rFonts w:ascii="PMingLiU" w:eastAsia="PMingLiU" w:hAnsi="PMingLiU"/>
          <w:sz w:val="24"/>
          <w:szCs w:val="24"/>
          <w:vertAlign w:val="superscript"/>
        </w:rPr>
        <w:t xml:space="preserve"> 2</w:t>
      </w:r>
      <w:r w:rsidR="00EE00AC" w:rsidRPr="006035C4">
        <w:rPr>
          <w:rFonts w:ascii="PMingLiU" w:eastAsia="PMingLiU" w:hAnsi="PMingLiU"/>
          <w:sz w:val="24"/>
          <w:szCs w:val="24"/>
          <w:vertAlign w:val="superscript"/>
        </w:rPr>
        <w:t>5</w:t>
      </w:r>
      <w:r w:rsidRPr="006035C4">
        <w:rPr>
          <w:rFonts w:ascii="PMingLiU" w:eastAsia="PMingLiU" w:hAnsi="PMingLiU"/>
          <w:sz w:val="24"/>
          <w:szCs w:val="24"/>
        </w:rPr>
        <w:t xml:space="preserve"> The strong correlation identified in this audit between ESA dose adjustments and hemoglobin maintenance further supports the need for stronger iron management practices, as iron deficiency is one of the principal causes of suboptimal ESA response.</w:t>
      </w:r>
    </w:p>
    <w:p w14:paraId="730B0F7D" w14:textId="77777777" w:rsidR="006035C4" w:rsidRDefault="006035C4" w:rsidP="007746C3">
      <w:pPr>
        <w:spacing w:after="0" w:line="240" w:lineRule="auto"/>
        <w:jc w:val="both"/>
        <w:rPr>
          <w:rFonts w:ascii="PMingLiU" w:eastAsia="PMingLiU" w:hAnsi="PMingLiU"/>
          <w:sz w:val="24"/>
          <w:szCs w:val="24"/>
        </w:rPr>
      </w:pPr>
    </w:p>
    <w:p w14:paraId="225599C8" w14:textId="77777777" w:rsidR="006035C4" w:rsidRDefault="006035C4" w:rsidP="007746C3">
      <w:pPr>
        <w:spacing w:after="0" w:line="240" w:lineRule="auto"/>
        <w:jc w:val="both"/>
        <w:rPr>
          <w:rFonts w:ascii="PMingLiU" w:eastAsia="PMingLiU" w:hAnsi="PMingLiU"/>
          <w:sz w:val="24"/>
          <w:szCs w:val="24"/>
        </w:rPr>
      </w:pPr>
      <w:r>
        <w:rPr>
          <w:rFonts w:ascii="PMingLiU" w:eastAsia="PMingLiU" w:hAnsi="PMingLiU"/>
          <w:sz w:val="24"/>
          <w:szCs w:val="24"/>
        </w:rPr>
        <w:t>Our</w:t>
      </w:r>
      <w:r w:rsidR="00723BCF" w:rsidRPr="006035C4">
        <w:rPr>
          <w:rFonts w:ascii="PMingLiU" w:eastAsia="PMingLiU" w:hAnsi="PMingLiU"/>
          <w:sz w:val="24"/>
          <w:szCs w:val="24"/>
        </w:rPr>
        <w:t xml:space="preserve"> audit demonstrated a strong positive relationship between appropriate ESA titration and hemoglobin maintenance, emphasizing the importance of precise dosing to avoid under- or over-correction. This finding aligns with recent international evidence showing that structured ESA protocols significantly improve hemoglobin stability and reduce hospitalizations.</w:t>
      </w:r>
      <w:r w:rsidR="00562000" w:rsidRPr="006035C4">
        <w:rPr>
          <w:rFonts w:ascii="PMingLiU" w:eastAsia="PMingLiU" w:hAnsi="PMingLiU"/>
          <w:sz w:val="24"/>
          <w:szCs w:val="24"/>
          <w:vertAlign w:val="superscript"/>
        </w:rPr>
        <w:t xml:space="preserve"> 2</w:t>
      </w:r>
      <w:r w:rsidR="00EE00AC" w:rsidRPr="006035C4">
        <w:rPr>
          <w:rFonts w:ascii="PMingLiU" w:eastAsia="PMingLiU" w:hAnsi="PMingLiU"/>
          <w:sz w:val="24"/>
          <w:szCs w:val="24"/>
          <w:vertAlign w:val="superscript"/>
        </w:rPr>
        <w:t>4</w:t>
      </w:r>
      <w:r w:rsidR="00723BCF" w:rsidRPr="006035C4">
        <w:rPr>
          <w:rFonts w:ascii="PMingLiU" w:eastAsia="PMingLiU" w:hAnsi="PMingLiU"/>
          <w:sz w:val="24"/>
          <w:szCs w:val="24"/>
        </w:rPr>
        <w:t xml:space="preserve"> In contrast, the weak correlation between anemia screening and downstream management indicators suggests that while initial evaluation is consistently performed, subsequent steps such as iron monitoring are not systematically integrated into practice.</w:t>
      </w:r>
      <w:r w:rsidR="00562000" w:rsidRPr="006035C4">
        <w:rPr>
          <w:rFonts w:ascii="PMingLiU" w:eastAsia="PMingLiU" w:hAnsi="PMingLiU"/>
          <w:sz w:val="24"/>
          <w:szCs w:val="24"/>
        </w:rPr>
        <w:t xml:space="preserve"> </w:t>
      </w:r>
      <w:r w:rsidR="00723BCF" w:rsidRPr="006035C4">
        <w:rPr>
          <w:rFonts w:ascii="PMingLiU" w:eastAsia="PMingLiU" w:hAnsi="PMingLiU"/>
          <w:sz w:val="24"/>
          <w:szCs w:val="24"/>
        </w:rPr>
        <w:t>Several audits conducted in the last decade have documented similar areas of strength and weakness. Studies in the UK and Australia reported high adherence to anemia screening and ESA dose adjustments but low compliance with iron monitoring, largely due to workflow fragmentation</w:t>
      </w:r>
      <w:r w:rsidR="00723BCF" w:rsidRPr="006035C4">
        <w:rPr>
          <w:rFonts w:ascii="PMingLiU" w:eastAsia="PMingLiU" w:hAnsi="PMingLiU"/>
          <w:sz w:val="24"/>
          <w:szCs w:val="24"/>
          <w:vertAlign w:val="superscript"/>
        </w:rPr>
        <w:t>.</w:t>
      </w:r>
      <w:r w:rsidR="00562000" w:rsidRPr="006035C4">
        <w:rPr>
          <w:rFonts w:ascii="PMingLiU" w:eastAsia="PMingLiU" w:hAnsi="PMingLiU"/>
          <w:sz w:val="24"/>
          <w:szCs w:val="24"/>
          <w:vertAlign w:val="superscript"/>
        </w:rPr>
        <w:t>2</w:t>
      </w:r>
      <w:r w:rsidR="00EE00AC" w:rsidRPr="006035C4">
        <w:rPr>
          <w:rFonts w:ascii="PMingLiU" w:eastAsia="PMingLiU" w:hAnsi="PMingLiU"/>
          <w:sz w:val="24"/>
          <w:szCs w:val="24"/>
          <w:vertAlign w:val="superscript"/>
        </w:rPr>
        <w:t>5</w:t>
      </w:r>
      <w:r w:rsidR="00562000" w:rsidRPr="006035C4">
        <w:rPr>
          <w:rFonts w:ascii="PMingLiU" w:eastAsia="PMingLiU" w:hAnsi="PMingLiU"/>
          <w:sz w:val="24"/>
          <w:szCs w:val="24"/>
          <w:vertAlign w:val="superscript"/>
        </w:rPr>
        <w:t>-2</w:t>
      </w:r>
      <w:r w:rsidR="00EE00AC" w:rsidRPr="006035C4">
        <w:rPr>
          <w:rFonts w:ascii="PMingLiU" w:eastAsia="PMingLiU" w:hAnsi="PMingLiU"/>
          <w:sz w:val="24"/>
          <w:szCs w:val="24"/>
          <w:vertAlign w:val="superscript"/>
        </w:rPr>
        <w:t>6</w:t>
      </w:r>
      <w:r w:rsidR="00723BCF" w:rsidRPr="006035C4">
        <w:rPr>
          <w:rFonts w:ascii="PMingLiU" w:eastAsia="PMingLiU" w:hAnsi="PMingLiU"/>
          <w:sz w:val="24"/>
          <w:szCs w:val="24"/>
        </w:rPr>
        <w:t xml:space="preserve"> Audits conducted in South Asia showed even greater variability, with iron documentation often below 40%.</w:t>
      </w:r>
      <w:r w:rsidR="00562000" w:rsidRPr="006035C4">
        <w:rPr>
          <w:rFonts w:ascii="PMingLiU" w:eastAsia="PMingLiU" w:hAnsi="PMingLiU"/>
          <w:sz w:val="24"/>
          <w:szCs w:val="24"/>
          <w:vertAlign w:val="superscript"/>
        </w:rPr>
        <w:t>12</w:t>
      </w:r>
      <w:r w:rsidR="00723BCF" w:rsidRPr="006035C4">
        <w:rPr>
          <w:rFonts w:ascii="PMingLiU" w:eastAsia="PMingLiU" w:hAnsi="PMingLiU"/>
          <w:sz w:val="24"/>
          <w:szCs w:val="24"/>
          <w:vertAlign w:val="superscript"/>
        </w:rPr>
        <w:t>,</w:t>
      </w:r>
      <w:r w:rsidR="00562000" w:rsidRPr="006035C4">
        <w:rPr>
          <w:rFonts w:ascii="PMingLiU" w:eastAsia="PMingLiU" w:hAnsi="PMingLiU"/>
          <w:sz w:val="24"/>
          <w:szCs w:val="24"/>
          <w:vertAlign w:val="superscript"/>
        </w:rPr>
        <w:t>2</w:t>
      </w:r>
      <w:r w:rsidR="00B449B8" w:rsidRPr="006035C4">
        <w:rPr>
          <w:rFonts w:ascii="PMingLiU" w:eastAsia="PMingLiU" w:hAnsi="PMingLiU"/>
          <w:sz w:val="24"/>
          <w:szCs w:val="24"/>
          <w:vertAlign w:val="superscript"/>
        </w:rPr>
        <w:t>2</w:t>
      </w:r>
      <w:r w:rsidR="00723BCF" w:rsidRPr="006035C4">
        <w:rPr>
          <w:rFonts w:ascii="PMingLiU" w:eastAsia="PMingLiU" w:hAnsi="PMingLiU"/>
          <w:sz w:val="24"/>
          <w:szCs w:val="24"/>
        </w:rPr>
        <w:t xml:space="preserve"> </w:t>
      </w:r>
    </w:p>
    <w:p w14:paraId="1FCE29CC" w14:textId="77777777" w:rsidR="006035C4" w:rsidRDefault="006035C4" w:rsidP="007746C3">
      <w:pPr>
        <w:spacing w:after="0" w:line="240" w:lineRule="auto"/>
        <w:jc w:val="both"/>
        <w:rPr>
          <w:rFonts w:ascii="PMingLiU" w:eastAsia="PMingLiU" w:hAnsi="PMingLiU"/>
          <w:sz w:val="24"/>
          <w:szCs w:val="24"/>
        </w:rPr>
      </w:pPr>
    </w:p>
    <w:p w14:paraId="4B071891" w14:textId="2E52DF17" w:rsidR="00723BCF" w:rsidRPr="006035C4" w:rsidRDefault="00723BCF" w:rsidP="006035C4">
      <w:pPr>
        <w:spacing w:after="0" w:line="240" w:lineRule="auto"/>
        <w:jc w:val="both"/>
        <w:rPr>
          <w:rFonts w:ascii="PMingLiU" w:eastAsia="PMingLiU" w:hAnsi="PMingLiU"/>
          <w:sz w:val="24"/>
          <w:szCs w:val="24"/>
        </w:rPr>
      </w:pPr>
      <w:r w:rsidRPr="006035C4">
        <w:rPr>
          <w:rFonts w:ascii="PMingLiU" w:eastAsia="PMingLiU" w:hAnsi="PMingLiU"/>
          <w:sz w:val="24"/>
          <w:szCs w:val="24"/>
        </w:rPr>
        <w:t>Taken together, the findings of this audit are consistent with international trends and highlight the urgent need for system-level interventions.</w:t>
      </w:r>
      <w:r w:rsidR="006035C4">
        <w:rPr>
          <w:rFonts w:ascii="PMingLiU" w:eastAsia="PMingLiU" w:hAnsi="PMingLiU"/>
          <w:sz w:val="24"/>
          <w:szCs w:val="24"/>
        </w:rPr>
        <w:t xml:space="preserve"> </w:t>
      </w:r>
      <w:r w:rsidRPr="006035C4">
        <w:rPr>
          <w:rFonts w:ascii="PMingLiU" w:eastAsia="PMingLiU" w:hAnsi="PMingLiU"/>
          <w:sz w:val="24"/>
          <w:szCs w:val="24"/>
        </w:rPr>
        <w:t>Improving iron-related monitoring should be a key quality-improvement priority. Interventions such as automated reminders, standardized checklists, and integration of iron testing into routine dialysis laboratory panels may significantly enhance compliance. Enhancing multidisciplinary communication and implementing electronic documentation systems may also reduce the current gaps.</w:t>
      </w:r>
    </w:p>
    <w:p w14:paraId="36FAD496" w14:textId="0EE25389" w:rsidR="00F3054B" w:rsidRPr="006035C4" w:rsidRDefault="00723BCF" w:rsidP="007746C3">
      <w:pPr>
        <w:spacing w:after="0" w:line="240" w:lineRule="auto"/>
        <w:jc w:val="both"/>
        <w:rPr>
          <w:rFonts w:ascii="PMingLiU" w:eastAsia="PMingLiU" w:hAnsi="PMingLiU"/>
          <w:sz w:val="24"/>
          <w:szCs w:val="24"/>
        </w:rPr>
      </w:pPr>
      <w:r w:rsidRPr="006035C4">
        <w:rPr>
          <w:rFonts w:ascii="PMingLiU" w:eastAsia="PMingLiU" w:hAnsi="PMingLiU"/>
          <w:sz w:val="24"/>
          <w:szCs w:val="24"/>
        </w:rPr>
        <w:lastRenderedPageBreak/>
        <w:t>A major strength of this audit is its comprehensive evaluation of multiple indicators across a full cohort of MHD patients within a busy tertiary center. However, the cross-sectional design limits assessment of temporal variations, and incomplete external factors—such as patient diet, inflammation markers, or socioeconomic constraints—were not addressed.</w:t>
      </w:r>
    </w:p>
    <w:p w14:paraId="49554A56" w14:textId="77777777" w:rsidR="006035C4" w:rsidRDefault="006035C4" w:rsidP="007746C3">
      <w:pPr>
        <w:spacing w:after="0" w:line="240" w:lineRule="auto"/>
        <w:jc w:val="both"/>
        <w:outlineLvl w:val="2"/>
        <w:rPr>
          <w:rFonts w:asciiTheme="minorBidi" w:eastAsia="Times New Roman" w:hAnsiTheme="minorBidi"/>
          <w:b/>
          <w:bCs/>
          <w:sz w:val="24"/>
          <w:szCs w:val="24"/>
        </w:rPr>
      </w:pPr>
    </w:p>
    <w:p w14:paraId="1B56DF0A" w14:textId="3C454AD9" w:rsidR="00723BCF" w:rsidRPr="007746C3" w:rsidRDefault="00723BCF" w:rsidP="007746C3">
      <w:pPr>
        <w:spacing w:after="0" w:line="240" w:lineRule="auto"/>
        <w:jc w:val="both"/>
        <w:outlineLvl w:val="2"/>
        <w:rPr>
          <w:rFonts w:asciiTheme="minorBidi" w:eastAsia="Times New Roman" w:hAnsiTheme="minorBidi"/>
          <w:b/>
          <w:bCs/>
          <w:sz w:val="24"/>
          <w:szCs w:val="24"/>
        </w:rPr>
      </w:pPr>
      <w:r w:rsidRPr="007746C3">
        <w:rPr>
          <w:rFonts w:asciiTheme="minorBidi" w:eastAsia="Times New Roman" w:hAnsiTheme="minorBidi"/>
          <w:b/>
          <w:bCs/>
          <w:sz w:val="24"/>
          <w:szCs w:val="24"/>
        </w:rPr>
        <w:t>Conclusion</w:t>
      </w:r>
    </w:p>
    <w:p w14:paraId="0FC6400C" w14:textId="1BAB54C3" w:rsidR="00723BCF" w:rsidRPr="006035C4" w:rsidRDefault="00723BCF" w:rsidP="007746C3">
      <w:pPr>
        <w:spacing w:after="0" w:line="240" w:lineRule="auto"/>
        <w:jc w:val="both"/>
        <w:rPr>
          <w:rFonts w:ascii="PMingLiU" w:eastAsia="PMingLiU" w:hAnsi="PMingLiU"/>
          <w:sz w:val="24"/>
          <w:szCs w:val="24"/>
        </w:rPr>
      </w:pPr>
      <w:r w:rsidRPr="006035C4">
        <w:rPr>
          <w:rFonts w:ascii="PMingLiU" w:eastAsia="PMingLiU" w:hAnsi="PMingLiU"/>
          <w:sz w:val="24"/>
          <w:szCs w:val="24"/>
        </w:rPr>
        <w:t>This audit highlights strong adherence to anemia screening, ESA titration, and patient education but identifies significant deficiencies in iron monitoring that compromise overall anemia control. Addressing these gaps through targeted quality-improvement interventions may lead to better hemoglobin stability and enhance patient outcomes. The results are consistent with international findings and underscore the importance of strengthening adherence to guideline-recommended practices in MHD units.</w:t>
      </w:r>
    </w:p>
    <w:p w14:paraId="1C9C4FC1" w14:textId="77777777" w:rsidR="006035C4" w:rsidRDefault="006035C4" w:rsidP="007746C3">
      <w:pPr>
        <w:spacing w:after="0" w:line="240" w:lineRule="auto"/>
        <w:jc w:val="both"/>
        <w:rPr>
          <w:rFonts w:asciiTheme="minorBidi" w:hAnsiTheme="minorBidi"/>
          <w:b/>
          <w:bCs/>
          <w:sz w:val="24"/>
          <w:szCs w:val="24"/>
        </w:rPr>
      </w:pPr>
    </w:p>
    <w:p w14:paraId="148419D1" w14:textId="33AC6A1E" w:rsidR="00723BCF" w:rsidRPr="006035C4" w:rsidRDefault="00EE00AC" w:rsidP="007746C3">
      <w:pPr>
        <w:spacing w:after="0" w:line="240" w:lineRule="auto"/>
        <w:jc w:val="both"/>
        <w:rPr>
          <w:rFonts w:ascii="PMingLiU" w:eastAsia="PMingLiU" w:hAnsi="PMingLiU"/>
          <w:sz w:val="24"/>
          <w:szCs w:val="24"/>
        </w:rPr>
      </w:pPr>
      <w:r w:rsidRPr="007746C3">
        <w:rPr>
          <w:rFonts w:asciiTheme="minorBidi" w:hAnsiTheme="minorBidi"/>
          <w:b/>
          <w:bCs/>
          <w:sz w:val="24"/>
          <w:szCs w:val="24"/>
        </w:rPr>
        <w:t>Acknowledgement</w:t>
      </w:r>
      <w:r w:rsidR="006035C4">
        <w:rPr>
          <w:rFonts w:asciiTheme="minorBidi" w:hAnsiTheme="minorBidi"/>
          <w:b/>
          <w:bCs/>
          <w:sz w:val="24"/>
          <w:szCs w:val="24"/>
        </w:rPr>
        <w:t>:</w:t>
      </w:r>
      <w:r w:rsidR="000D2A30" w:rsidRPr="006035C4">
        <w:rPr>
          <w:rFonts w:ascii="PMingLiU" w:eastAsia="PMingLiU" w:hAnsi="PMingLiU"/>
          <w:b/>
          <w:bCs/>
          <w:sz w:val="24"/>
          <w:szCs w:val="24"/>
        </w:rPr>
        <w:t xml:space="preserve"> </w:t>
      </w:r>
      <w:r w:rsidR="00365D21" w:rsidRPr="006035C4">
        <w:rPr>
          <w:rFonts w:ascii="PMingLiU" w:eastAsia="PMingLiU" w:hAnsi="PMingLiU"/>
          <w:sz w:val="24"/>
          <w:szCs w:val="24"/>
        </w:rPr>
        <w:t>We gratefully acknowledge the medical, nursing, and laboratory staff of the Hemodialysis Unit at Evercare Hospital, Dhaka for their invaluable support in the data collection process for this audit.</w:t>
      </w:r>
    </w:p>
    <w:p w14:paraId="7521C219" w14:textId="77777777" w:rsidR="006035C4" w:rsidRDefault="006035C4" w:rsidP="007746C3">
      <w:pPr>
        <w:spacing w:after="0" w:line="240" w:lineRule="auto"/>
        <w:jc w:val="both"/>
        <w:rPr>
          <w:rFonts w:asciiTheme="minorBidi" w:hAnsiTheme="minorBidi"/>
          <w:b/>
          <w:bCs/>
          <w:sz w:val="24"/>
          <w:szCs w:val="24"/>
        </w:rPr>
      </w:pPr>
    </w:p>
    <w:p w14:paraId="1B2BC5E3" w14:textId="37464EED" w:rsidR="00EE00AC" w:rsidRPr="007746C3" w:rsidRDefault="00EE00AC" w:rsidP="007746C3">
      <w:pPr>
        <w:spacing w:after="0" w:line="240" w:lineRule="auto"/>
        <w:jc w:val="both"/>
        <w:rPr>
          <w:rFonts w:asciiTheme="minorBidi" w:hAnsiTheme="minorBidi"/>
          <w:b/>
          <w:bCs/>
          <w:sz w:val="24"/>
          <w:szCs w:val="24"/>
        </w:rPr>
      </w:pPr>
      <w:r w:rsidRPr="007746C3">
        <w:rPr>
          <w:rFonts w:asciiTheme="minorBidi" w:hAnsiTheme="minorBidi"/>
          <w:b/>
          <w:bCs/>
          <w:sz w:val="24"/>
          <w:szCs w:val="24"/>
        </w:rPr>
        <w:t>Funding</w:t>
      </w:r>
      <w:r w:rsidR="006035C4">
        <w:rPr>
          <w:rFonts w:asciiTheme="minorBidi" w:hAnsiTheme="minorBidi"/>
          <w:b/>
          <w:bCs/>
          <w:sz w:val="24"/>
          <w:szCs w:val="24"/>
        </w:rPr>
        <w:t xml:space="preserve">: </w:t>
      </w:r>
      <w:r w:rsidR="006035C4" w:rsidRPr="006035C4">
        <w:rPr>
          <w:rFonts w:ascii="PMingLiU" w:eastAsia="PMingLiU" w:hAnsi="PMingLiU"/>
          <w:sz w:val="24"/>
          <w:szCs w:val="24"/>
        </w:rPr>
        <w:t>None</w:t>
      </w:r>
    </w:p>
    <w:p w14:paraId="7FE52697" w14:textId="1F4EA481" w:rsidR="00EE00AC" w:rsidRPr="006035C4" w:rsidRDefault="00EE00AC" w:rsidP="006035C4">
      <w:pPr>
        <w:pStyle w:val="Heading5"/>
        <w:rPr>
          <w:rFonts w:asciiTheme="minorBidi" w:hAnsiTheme="minorBidi" w:cstheme="minorBidi"/>
          <w:b/>
          <w:bCs/>
          <w:color w:val="000000" w:themeColor="text1"/>
          <w:sz w:val="24"/>
          <w:szCs w:val="24"/>
        </w:rPr>
      </w:pPr>
      <w:r w:rsidRPr="006035C4">
        <w:rPr>
          <w:rFonts w:asciiTheme="minorBidi" w:hAnsiTheme="minorBidi" w:cstheme="minorBidi"/>
          <w:b/>
          <w:bCs/>
          <w:color w:val="000000" w:themeColor="text1"/>
          <w:sz w:val="24"/>
          <w:szCs w:val="24"/>
        </w:rPr>
        <w:t>Conflict of Interest</w:t>
      </w:r>
      <w:r w:rsidR="006035C4">
        <w:rPr>
          <w:rFonts w:asciiTheme="minorBidi" w:hAnsiTheme="minorBidi" w:cstheme="minorBidi"/>
          <w:b/>
          <w:bCs/>
          <w:color w:val="000000" w:themeColor="text1"/>
          <w:sz w:val="24"/>
          <w:szCs w:val="24"/>
        </w:rPr>
        <w:t>:</w:t>
      </w:r>
      <w:r w:rsidR="009212A6" w:rsidRPr="006035C4">
        <w:rPr>
          <w:rFonts w:ascii="PMingLiU" w:eastAsia="PMingLiU" w:hAnsi="PMingLiU" w:cstheme="minorBidi"/>
          <w:b/>
          <w:bCs/>
          <w:color w:val="000000" w:themeColor="text1"/>
          <w:sz w:val="24"/>
          <w:szCs w:val="24"/>
        </w:rPr>
        <w:t xml:space="preserve"> </w:t>
      </w:r>
      <w:r w:rsidRPr="006035C4">
        <w:rPr>
          <w:rFonts w:ascii="PMingLiU" w:eastAsia="PMingLiU" w:hAnsi="PMingLiU" w:cstheme="minorBidi"/>
          <w:color w:val="000000" w:themeColor="text1"/>
          <w:sz w:val="24"/>
          <w:szCs w:val="24"/>
        </w:rPr>
        <w:t>There is no conflict of interest</w:t>
      </w:r>
      <w:r w:rsidR="004E3F70" w:rsidRPr="006035C4">
        <w:rPr>
          <w:rFonts w:asciiTheme="minorBidi" w:hAnsiTheme="minorBidi" w:cstheme="minorBidi"/>
          <w:color w:val="000000" w:themeColor="text1"/>
          <w:sz w:val="24"/>
          <w:szCs w:val="24"/>
        </w:rPr>
        <w:t>.</w:t>
      </w:r>
    </w:p>
    <w:p w14:paraId="1C5C2F31" w14:textId="1A37AE6A" w:rsidR="00B85009" w:rsidRPr="007746C3" w:rsidRDefault="00B85009" w:rsidP="007746C3">
      <w:pPr>
        <w:spacing w:after="0" w:line="240" w:lineRule="auto"/>
        <w:rPr>
          <w:rFonts w:asciiTheme="minorBidi" w:hAnsiTheme="minorBidi"/>
          <w:b/>
          <w:bCs/>
          <w:sz w:val="24"/>
          <w:szCs w:val="24"/>
        </w:rPr>
      </w:pPr>
      <w:r w:rsidRPr="007746C3">
        <w:rPr>
          <w:rFonts w:asciiTheme="minorBidi" w:hAnsiTheme="minorBidi"/>
          <w:b/>
          <w:bCs/>
          <w:sz w:val="24"/>
          <w:szCs w:val="24"/>
        </w:rPr>
        <w:t>Referenc</w:t>
      </w:r>
      <w:r w:rsidR="00516393" w:rsidRPr="007746C3">
        <w:rPr>
          <w:rFonts w:asciiTheme="minorBidi" w:hAnsiTheme="minorBidi"/>
          <w:b/>
          <w:bCs/>
          <w:sz w:val="24"/>
          <w:szCs w:val="24"/>
        </w:rPr>
        <w:t>es</w:t>
      </w:r>
      <w:r w:rsidRPr="007746C3">
        <w:rPr>
          <w:rFonts w:asciiTheme="minorBidi" w:hAnsiTheme="minorBidi"/>
          <w:b/>
          <w:bCs/>
          <w:sz w:val="24"/>
          <w:szCs w:val="24"/>
        </w:rPr>
        <w:t>:</w:t>
      </w:r>
    </w:p>
    <w:p w14:paraId="1ECC6D8F" w14:textId="77777777" w:rsidR="00EA62EF" w:rsidRPr="006035C4" w:rsidRDefault="00EA62EF" w:rsidP="007746C3">
      <w:pPr>
        <w:pStyle w:val="ListParagraph"/>
        <w:numPr>
          <w:ilvl w:val="0"/>
          <w:numId w:val="2"/>
        </w:numPr>
        <w:jc w:val="both"/>
        <w:rPr>
          <w:rFonts w:ascii="PMingLiU" w:eastAsia="PMingLiU" w:hAnsi="PMingLiU" w:cstheme="minorBidi"/>
          <w:sz w:val="20"/>
          <w:szCs w:val="20"/>
        </w:rPr>
      </w:pPr>
      <w:r w:rsidRPr="006035C4">
        <w:rPr>
          <w:rFonts w:ascii="PMingLiU" w:eastAsia="PMingLiU" w:hAnsi="PMingLiU" w:cstheme="minorBidi"/>
          <w:sz w:val="20"/>
          <w:szCs w:val="20"/>
        </w:rPr>
        <w:t>Babitt JL, Lin HY. Mechanisms of anemia in CKD. Journal of the American Society of Nephrology. 2012 Oct 1;23(10):1631-4.</w:t>
      </w:r>
    </w:p>
    <w:p w14:paraId="6FFCAF92" w14:textId="77777777" w:rsidR="00EA62EF" w:rsidRPr="006035C4" w:rsidRDefault="00EA62EF" w:rsidP="007746C3">
      <w:pPr>
        <w:pStyle w:val="ListParagraph"/>
        <w:numPr>
          <w:ilvl w:val="0"/>
          <w:numId w:val="2"/>
        </w:numPr>
        <w:jc w:val="both"/>
        <w:rPr>
          <w:rFonts w:ascii="PMingLiU" w:eastAsia="PMingLiU" w:hAnsi="PMingLiU" w:cstheme="minorBidi"/>
          <w:sz w:val="20"/>
          <w:szCs w:val="20"/>
        </w:rPr>
      </w:pPr>
      <w:r w:rsidRPr="006035C4">
        <w:rPr>
          <w:rFonts w:ascii="PMingLiU" w:eastAsia="PMingLiU" w:hAnsi="PMingLiU" w:cstheme="minorBidi"/>
          <w:sz w:val="20"/>
          <w:szCs w:val="20"/>
        </w:rPr>
        <w:t xml:space="preserve">Mikhail A, Brown C, Williams JA, Mathrani V, Shrivastava R, Evans J, Isaac H, Bhandari S. Renal association clinical practice guideline on </w:t>
      </w:r>
      <w:proofErr w:type="spellStart"/>
      <w:r w:rsidRPr="006035C4">
        <w:rPr>
          <w:rFonts w:ascii="PMingLiU" w:eastAsia="PMingLiU" w:hAnsi="PMingLiU" w:cstheme="minorBidi"/>
          <w:sz w:val="20"/>
          <w:szCs w:val="20"/>
        </w:rPr>
        <w:t>Anaemia</w:t>
      </w:r>
      <w:proofErr w:type="spellEnd"/>
      <w:r w:rsidRPr="006035C4">
        <w:rPr>
          <w:rFonts w:ascii="PMingLiU" w:eastAsia="PMingLiU" w:hAnsi="PMingLiU" w:cstheme="minorBidi"/>
          <w:sz w:val="20"/>
          <w:szCs w:val="20"/>
        </w:rPr>
        <w:t xml:space="preserve"> of Chronic Kidney Disease. BMC nephrology. 2017 Nov 30;18(1):345.</w:t>
      </w:r>
    </w:p>
    <w:p w14:paraId="769054DD" w14:textId="6047CC60" w:rsidR="00EA62EF" w:rsidRPr="006035C4" w:rsidRDefault="007432B4" w:rsidP="007746C3">
      <w:pPr>
        <w:pStyle w:val="ListParagraph"/>
        <w:numPr>
          <w:ilvl w:val="0"/>
          <w:numId w:val="2"/>
        </w:numPr>
        <w:jc w:val="both"/>
        <w:rPr>
          <w:rFonts w:ascii="PMingLiU" w:eastAsia="PMingLiU" w:hAnsi="PMingLiU" w:cstheme="minorBidi"/>
          <w:sz w:val="20"/>
          <w:szCs w:val="20"/>
        </w:rPr>
      </w:pPr>
      <w:proofErr w:type="spellStart"/>
      <w:r w:rsidRPr="006035C4">
        <w:rPr>
          <w:rFonts w:ascii="PMingLiU" w:eastAsia="PMingLiU" w:hAnsi="PMingLiU" w:cstheme="minorBidi"/>
          <w:sz w:val="20"/>
          <w:szCs w:val="20"/>
        </w:rPr>
        <w:t>Pantopoulos</w:t>
      </w:r>
      <w:proofErr w:type="spellEnd"/>
      <w:r w:rsidRPr="006035C4">
        <w:rPr>
          <w:rFonts w:ascii="PMingLiU" w:eastAsia="PMingLiU" w:hAnsi="PMingLiU" w:cstheme="minorBidi"/>
          <w:sz w:val="20"/>
          <w:szCs w:val="20"/>
        </w:rPr>
        <w:t xml:space="preserve"> K. Oral iron supplementation: new formulations, old questions. </w:t>
      </w:r>
      <w:proofErr w:type="spellStart"/>
      <w:r w:rsidRPr="006035C4">
        <w:rPr>
          <w:rFonts w:ascii="PMingLiU" w:eastAsia="PMingLiU" w:hAnsi="PMingLiU" w:cstheme="minorBidi"/>
          <w:sz w:val="20"/>
          <w:szCs w:val="20"/>
        </w:rPr>
        <w:t>Haematologica</w:t>
      </w:r>
      <w:proofErr w:type="spellEnd"/>
      <w:r w:rsidRPr="006035C4">
        <w:rPr>
          <w:rFonts w:ascii="PMingLiU" w:eastAsia="PMingLiU" w:hAnsi="PMingLiU" w:cstheme="minorBidi"/>
          <w:sz w:val="20"/>
          <w:szCs w:val="20"/>
        </w:rPr>
        <w:t>. 2024;109(9):2790-2801. doi:10.3324/haematol.2024.284967</w:t>
      </w:r>
      <w:r w:rsidR="00EA62EF" w:rsidRPr="006035C4">
        <w:rPr>
          <w:rFonts w:ascii="PMingLiU" w:eastAsia="PMingLiU" w:hAnsi="PMingLiU" w:cstheme="minorBidi"/>
          <w:sz w:val="20"/>
          <w:szCs w:val="20"/>
        </w:rPr>
        <w:t>.</w:t>
      </w:r>
    </w:p>
    <w:p w14:paraId="49B667D8" w14:textId="69BFE363" w:rsidR="00B85009" w:rsidRPr="006035C4" w:rsidRDefault="00EA62EF" w:rsidP="007746C3">
      <w:pPr>
        <w:pStyle w:val="ListParagraph"/>
        <w:numPr>
          <w:ilvl w:val="0"/>
          <w:numId w:val="2"/>
        </w:numPr>
        <w:jc w:val="both"/>
        <w:rPr>
          <w:rFonts w:ascii="PMingLiU" w:eastAsia="PMingLiU" w:hAnsi="PMingLiU" w:cstheme="minorBidi"/>
          <w:sz w:val="20"/>
          <w:szCs w:val="20"/>
        </w:rPr>
      </w:pPr>
      <w:r w:rsidRPr="006035C4">
        <w:rPr>
          <w:rFonts w:ascii="PMingLiU" w:eastAsia="PMingLiU" w:hAnsi="PMingLiU" w:cstheme="minorBidi"/>
          <w:sz w:val="20"/>
          <w:szCs w:val="20"/>
        </w:rPr>
        <w:t xml:space="preserve">De Simone E, Sciascia S, Fenoglio R, Oddone V, Barreca A, </w:t>
      </w:r>
      <w:proofErr w:type="spellStart"/>
      <w:r w:rsidRPr="006035C4">
        <w:rPr>
          <w:rFonts w:ascii="PMingLiU" w:eastAsia="PMingLiU" w:hAnsi="PMingLiU" w:cstheme="minorBidi"/>
          <w:sz w:val="20"/>
          <w:szCs w:val="20"/>
        </w:rPr>
        <w:t>Roccatello</w:t>
      </w:r>
      <w:proofErr w:type="spellEnd"/>
      <w:r w:rsidRPr="006035C4">
        <w:rPr>
          <w:rFonts w:ascii="PMingLiU" w:eastAsia="PMingLiU" w:hAnsi="PMingLiU" w:cstheme="minorBidi"/>
          <w:sz w:val="20"/>
          <w:szCs w:val="20"/>
        </w:rPr>
        <w:t xml:space="preserve"> D. Antiphospholipid syndrome and kidney involvement. Kidney and Blood Pressure Research. 2023 Dec 21;48(1):666-77.</w:t>
      </w:r>
    </w:p>
    <w:p w14:paraId="0AB74E9A" w14:textId="77777777" w:rsidR="00EA62EF" w:rsidRPr="006035C4" w:rsidRDefault="00EA62EF" w:rsidP="007746C3">
      <w:pPr>
        <w:pStyle w:val="ListParagraph"/>
        <w:numPr>
          <w:ilvl w:val="0"/>
          <w:numId w:val="2"/>
        </w:numPr>
        <w:jc w:val="both"/>
        <w:rPr>
          <w:rFonts w:ascii="PMingLiU" w:eastAsia="PMingLiU" w:hAnsi="PMingLiU" w:cstheme="minorBidi"/>
          <w:sz w:val="20"/>
          <w:szCs w:val="20"/>
        </w:rPr>
      </w:pPr>
      <w:r w:rsidRPr="006035C4">
        <w:rPr>
          <w:rFonts w:ascii="PMingLiU" w:eastAsia="PMingLiU" w:hAnsi="PMingLiU" w:cstheme="minorBidi"/>
          <w:sz w:val="20"/>
          <w:szCs w:val="20"/>
        </w:rPr>
        <w:t>Kidney Disease: Improving Global Outcomes (KDIGO) Anemia Work Group. KDIGO clinical practice guideline for anemia in chronic kidney disease. Kidney Int Suppl. 2012 Aug 22;2(4):279-335.</w:t>
      </w:r>
    </w:p>
    <w:p w14:paraId="21508C78" w14:textId="77777777" w:rsidR="00EA62EF" w:rsidRPr="006035C4" w:rsidRDefault="00EA62EF" w:rsidP="007746C3">
      <w:pPr>
        <w:pStyle w:val="ListParagraph"/>
        <w:numPr>
          <w:ilvl w:val="0"/>
          <w:numId w:val="2"/>
        </w:numPr>
        <w:jc w:val="both"/>
        <w:rPr>
          <w:rFonts w:ascii="PMingLiU" w:eastAsia="PMingLiU" w:hAnsi="PMingLiU" w:cstheme="minorBidi"/>
          <w:sz w:val="20"/>
          <w:szCs w:val="20"/>
        </w:rPr>
      </w:pPr>
      <w:r w:rsidRPr="006035C4">
        <w:rPr>
          <w:rFonts w:ascii="PMingLiU" w:eastAsia="PMingLiU" w:hAnsi="PMingLiU" w:cstheme="minorBidi"/>
          <w:sz w:val="20"/>
          <w:szCs w:val="20"/>
        </w:rPr>
        <w:t xml:space="preserve">Badura K, Janc J, </w:t>
      </w:r>
      <w:proofErr w:type="spellStart"/>
      <w:r w:rsidRPr="006035C4">
        <w:rPr>
          <w:rFonts w:ascii="PMingLiU" w:eastAsia="PMingLiU" w:hAnsi="PMingLiU" w:cstheme="minorBidi"/>
          <w:sz w:val="20"/>
          <w:szCs w:val="20"/>
        </w:rPr>
        <w:t>W</w:t>
      </w:r>
      <w:r w:rsidRPr="006035C4">
        <w:rPr>
          <w:rFonts w:ascii="Cambria" w:eastAsia="PMingLiU" w:hAnsi="Cambria" w:cs="Cambria"/>
          <w:sz w:val="20"/>
          <w:szCs w:val="20"/>
        </w:rPr>
        <w:t>ą</w:t>
      </w:r>
      <w:r w:rsidRPr="006035C4">
        <w:rPr>
          <w:rFonts w:ascii="PMingLiU" w:eastAsia="PMingLiU" w:hAnsi="PMingLiU" w:cstheme="minorBidi"/>
          <w:sz w:val="20"/>
          <w:szCs w:val="20"/>
        </w:rPr>
        <w:t>sik</w:t>
      </w:r>
      <w:proofErr w:type="spellEnd"/>
      <w:r w:rsidRPr="006035C4">
        <w:rPr>
          <w:rFonts w:ascii="PMingLiU" w:eastAsia="PMingLiU" w:hAnsi="PMingLiU" w:cstheme="minorBidi"/>
          <w:sz w:val="20"/>
          <w:szCs w:val="20"/>
        </w:rPr>
        <w:t xml:space="preserve"> J, </w:t>
      </w:r>
      <w:proofErr w:type="spellStart"/>
      <w:r w:rsidRPr="006035C4">
        <w:rPr>
          <w:rFonts w:ascii="PMingLiU" w:eastAsia="PMingLiU" w:hAnsi="PMingLiU" w:cstheme="minorBidi"/>
          <w:sz w:val="20"/>
          <w:szCs w:val="20"/>
        </w:rPr>
        <w:t>Gnitecki</w:t>
      </w:r>
      <w:proofErr w:type="spellEnd"/>
      <w:r w:rsidRPr="006035C4">
        <w:rPr>
          <w:rFonts w:ascii="PMingLiU" w:eastAsia="PMingLiU" w:hAnsi="PMingLiU" w:cstheme="minorBidi"/>
          <w:sz w:val="20"/>
          <w:szCs w:val="20"/>
        </w:rPr>
        <w:t xml:space="preserve"> S, Skwira S, </w:t>
      </w:r>
      <w:proofErr w:type="spellStart"/>
      <w:r w:rsidRPr="006035C4">
        <w:rPr>
          <w:rFonts w:ascii="PMingLiU" w:eastAsia="PMingLiU" w:hAnsi="PMingLiU" w:cstheme="minorBidi"/>
          <w:sz w:val="20"/>
          <w:szCs w:val="20"/>
        </w:rPr>
        <w:t>M</w:t>
      </w:r>
      <w:r w:rsidRPr="006035C4">
        <w:rPr>
          <w:rFonts w:ascii="Cambria" w:eastAsia="PMingLiU" w:hAnsi="Cambria" w:cs="Cambria"/>
          <w:sz w:val="20"/>
          <w:szCs w:val="20"/>
        </w:rPr>
        <w:t>ł</w:t>
      </w:r>
      <w:r w:rsidRPr="006035C4">
        <w:rPr>
          <w:rFonts w:ascii="PMingLiU" w:eastAsia="PMingLiU" w:hAnsi="PMingLiU" w:cstheme="minorBidi"/>
          <w:sz w:val="20"/>
          <w:szCs w:val="20"/>
        </w:rPr>
        <w:t>ynarska</w:t>
      </w:r>
      <w:proofErr w:type="spellEnd"/>
      <w:r w:rsidRPr="006035C4">
        <w:rPr>
          <w:rFonts w:ascii="PMingLiU" w:eastAsia="PMingLiU" w:hAnsi="PMingLiU" w:cstheme="minorBidi"/>
          <w:sz w:val="20"/>
          <w:szCs w:val="20"/>
        </w:rPr>
        <w:t xml:space="preserve"> E, Rysz J, Franczyk B. Anemia of chronic </w:t>
      </w:r>
      <w:proofErr w:type="gramStart"/>
      <w:r w:rsidRPr="006035C4">
        <w:rPr>
          <w:rFonts w:ascii="PMingLiU" w:eastAsia="PMingLiU" w:hAnsi="PMingLiU" w:cstheme="minorBidi"/>
          <w:sz w:val="20"/>
          <w:szCs w:val="20"/>
        </w:rPr>
        <w:t>kidney Disease</w:t>
      </w:r>
      <w:proofErr w:type="gramEnd"/>
      <w:r w:rsidRPr="006035C4">
        <w:rPr>
          <w:rFonts w:ascii="PMingLiU" w:eastAsia="PMingLiU" w:hAnsi="PMingLiU" w:cstheme="minorBidi"/>
          <w:sz w:val="20"/>
          <w:szCs w:val="20"/>
        </w:rPr>
        <w:t>—A narrative review of its pathophysiology, diagnosis, and management. Biomedicines. 2024 May 27;12(6):1191.</w:t>
      </w:r>
    </w:p>
    <w:p w14:paraId="1E7C1C35" w14:textId="77777777" w:rsidR="00EA62EF" w:rsidRPr="006035C4" w:rsidRDefault="00EA62EF" w:rsidP="007746C3">
      <w:pPr>
        <w:pStyle w:val="ListParagraph"/>
        <w:numPr>
          <w:ilvl w:val="0"/>
          <w:numId w:val="2"/>
        </w:numPr>
        <w:jc w:val="both"/>
        <w:rPr>
          <w:rFonts w:ascii="PMingLiU" w:eastAsia="PMingLiU" w:hAnsi="PMingLiU" w:cstheme="minorBidi"/>
          <w:sz w:val="20"/>
          <w:szCs w:val="20"/>
        </w:rPr>
      </w:pPr>
      <w:proofErr w:type="spellStart"/>
      <w:r w:rsidRPr="006035C4">
        <w:rPr>
          <w:rFonts w:ascii="PMingLiU" w:eastAsia="PMingLiU" w:hAnsi="PMingLiU" w:cstheme="minorBidi"/>
          <w:sz w:val="20"/>
          <w:szCs w:val="20"/>
        </w:rPr>
        <w:t>Sidossis</w:t>
      </w:r>
      <w:proofErr w:type="spellEnd"/>
      <w:r w:rsidRPr="006035C4">
        <w:rPr>
          <w:rFonts w:ascii="PMingLiU" w:eastAsia="PMingLiU" w:hAnsi="PMingLiU" w:cstheme="minorBidi"/>
          <w:sz w:val="20"/>
          <w:szCs w:val="20"/>
        </w:rPr>
        <w:t xml:space="preserve"> LS, Kales SN. Textbook of lifestyle medicine. John Wiley &amp; Sons; 2022 Jan 25.</w:t>
      </w:r>
    </w:p>
    <w:p w14:paraId="1AD82545" w14:textId="77777777" w:rsidR="00EA62EF" w:rsidRPr="006035C4" w:rsidRDefault="00EA62EF" w:rsidP="007746C3">
      <w:pPr>
        <w:pStyle w:val="ListParagraph"/>
        <w:numPr>
          <w:ilvl w:val="0"/>
          <w:numId w:val="2"/>
        </w:numPr>
        <w:jc w:val="both"/>
        <w:rPr>
          <w:rFonts w:ascii="PMingLiU" w:eastAsia="PMingLiU" w:hAnsi="PMingLiU" w:cstheme="minorBidi"/>
          <w:sz w:val="20"/>
          <w:szCs w:val="20"/>
        </w:rPr>
      </w:pPr>
      <w:r w:rsidRPr="006035C4">
        <w:rPr>
          <w:rFonts w:ascii="PMingLiU" w:eastAsia="PMingLiU" w:hAnsi="PMingLiU" w:cstheme="minorBidi"/>
          <w:sz w:val="20"/>
          <w:szCs w:val="20"/>
        </w:rPr>
        <w:t>Wang N, Zhang C. Recent advances in the management of diabetic kidney disease: slowing progression. International Journal of Molecular Sciences. 2024 Mar 7;25(6):3086.</w:t>
      </w:r>
    </w:p>
    <w:p w14:paraId="3FA1450E" w14:textId="77777777" w:rsidR="00EA62EF" w:rsidRPr="006035C4" w:rsidRDefault="00EA62EF" w:rsidP="007746C3">
      <w:pPr>
        <w:pStyle w:val="ListParagraph"/>
        <w:numPr>
          <w:ilvl w:val="0"/>
          <w:numId w:val="2"/>
        </w:numPr>
        <w:jc w:val="both"/>
        <w:rPr>
          <w:rFonts w:ascii="PMingLiU" w:eastAsia="PMingLiU" w:hAnsi="PMingLiU" w:cstheme="minorBidi"/>
          <w:sz w:val="20"/>
          <w:szCs w:val="20"/>
        </w:rPr>
      </w:pPr>
      <w:r w:rsidRPr="006035C4">
        <w:rPr>
          <w:rFonts w:ascii="PMingLiU" w:eastAsia="PMingLiU" w:hAnsi="PMingLiU" w:cstheme="minorBidi"/>
          <w:sz w:val="20"/>
          <w:szCs w:val="20"/>
        </w:rPr>
        <w:t xml:space="preserve">Cerdá J, Mohan S, Garcia-Garcia G, Jha V, </w:t>
      </w:r>
      <w:proofErr w:type="spellStart"/>
      <w:r w:rsidRPr="006035C4">
        <w:rPr>
          <w:rFonts w:ascii="PMingLiU" w:eastAsia="PMingLiU" w:hAnsi="PMingLiU" w:cstheme="minorBidi"/>
          <w:sz w:val="20"/>
          <w:szCs w:val="20"/>
        </w:rPr>
        <w:t>Samavedam</w:t>
      </w:r>
      <w:proofErr w:type="spellEnd"/>
      <w:r w:rsidRPr="006035C4">
        <w:rPr>
          <w:rFonts w:ascii="PMingLiU" w:eastAsia="PMingLiU" w:hAnsi="PMingLiU" w:cstheme="minorBidi"/>
          <w:sz w:val="20"/>
          <w:szCs w:val="20"/>
        </w:rPr>
        <w:t xml:space="preserve"> S, Gowrishankar S, Bagga A, Chakravarthi R, Mehta R, Group C, Acute Disease Quality Initiative. Acute kidney injury recognition in low-and middle-income countries. Kidney international reports. 2017 Jul 1;2(4):530-43.</w:t>
      </w:r>
    </w:p>
    <w:p w14:paraId="43807355" w14:textId="0223B437" w:rsidR="00EA62EF" w:rsidRPr="006035C4" w:rsidRDefault="007432B4" w:rsidP="007746C3">
      <w:pPr>
        <w:pStyle w:val="ListParagraph"/>
        <w:numPr>
          <w:ilvl w:val="0"/>
          <w:numId w:val="2"/>
        </w:numPr>
        <w:jc w:val="both"/>
        <w:rPr>
          <w:rFonts w:ascii="PMingLiU" w:eastAsia="PMingLiU" w:hAnsi="PMingLiU" w:cstheme="minorBidi"/>
          <w:sz w:val="20"/>
          <w:szCs w:val="20"/>
        </w:rPr>
      </w:pPr>
      <w:r w:rsidRPr="006035C4">
        <w:rPr>
          <w:rFonts w:ascii="PMingLiU" w:eastAsia="PMingLiU" w:hAnsi="PMingLiU" w:cstheme="minorBidi"/>
          <w:sz w:val="20"/>
          <w:szCs w:val="20"/>
        </w:rPr>
        <w:t>Ponce D, Balbi A. Acute kidney injury: risk factors and management challenges in low- and middle-income countries. Eur Med J Nephrol. 2020;8(1):62-69</w:t>
      </w:r>
      <w:r w:rsidR="00EA62EF" w:rsidRPr="006035C4">
        <w:rPr>
          <w:rFonts w:ascii="PMingLiU" w:eastAsia="PMingLiU" w:hAnsi="PMingLiU" w:cstheme="minorBidi"/>
          <w:sz w:val="20"/>
          <w:szCs w:val="20"/>
        </w:rPr>
        <w:t>.</w:t>
      </w:r>
      <w:r w:rsidRPr="006035C4">
        <w:rPr>
          <w:rFonts w:ascii="PMingLiU" w:eastAsia="PMingLiU" w:hAnsi="PMingLiU" w:cstheme="minorBidi"/>
          <w:sz w:val="20"/>
          <w:szCs w:val="20"/>
        </w:rPr>
        <w:t xml:space="preserve"> https://doi.org/10.33590/emjnephrol/20-00026</w:t>
      </w:r>
    </w:p>
    <w:p w14:paraId="0A14EEB7" w14:textId="77777777" w:rsidR="00EA62EF" w:rsidRPr="006035C4" w:rsidRDefault="00EA62EF" w:rsidP="007746C3">
      <w:pPr>
        <w:pStyle w:val="ListParagraph"/>
        <w:numPr>
          <w:ilvl w:val="0"/>
          <w:numId w:val="2"/>
        </w:numPr>
        <w:jc w:val="both"/>
        <w:rPr>
          <w:rFonts w:ascii="PMingLiU" w:eastAsia="PMingLiU" w:hAnsi="PMingLiU" w:cstheme="minorBidi"/>
          <w:sz w:val="20"/>
          <w:szCs w:val="20"/>
        </w:rPr>
      </w:pPr>
      <w:r w:rsidRPr="006035C4">
        <w:rPr>
          <w:rFonts w:ascii="PMingLiU" w:eastAsia="PMingLiU" w:hAnsi="PMingLiU" w:cstheme="minorBidi"/>
          <w:sz w:val="20"/>
          <w:szCs w:val="20"/>
        </w:rPr>
        <w:t xml:space="preserve">Alam K, Hayat AH, Ullah A, Sulaiman SA, Ahmad W, Ooi GS, Ahmad WA. The prevalence and impact of clinical pharmacists’ intervention on drug-related problems in patients with chronic kidney disease. </w:t>
      </w:r>
      <w:proofErr w:type="spellStart"/>
      <w:r w:rsidRPr="006035C4">
        <w:rPr>
          <w:rFonts w:ascii="PMingLiU" w:eastAsia="PMingLiU" w:hAnsi="PMingLiU" w:cstheme="minorBidi"/>
          <w:sz w:val="20"/>
          <w:szCs w:val="20"/>
        </w:rPr>
        <w:t>Cureus</w:t>
      </w:r>
      <w:proofErr w:type="spellEnd"/>
      <w:r w:rsidRPr="006035C4">
        <w:rPr>
          <w:rFonts w:ascii="PMingLiU" w:eastAsia="PMingLiU" w:hAnsi="PMingLiU" w:cstheme="minorBidi"/>
          <w:sz w:val="20"/>
          <w:szCs w:val="20"/>
        </w:rPr>
        <w:t>. 2024 Apr 30;16(4).</w:t>
      </w:r>
    </w:p>
    <w:p w14:paraId="5532A72B" w14:textId="77777777" w:rsidR="005C41F0" w:rsidRPr="006035C4" w:rsidRDefault="005C41F0" w:rsidP="007746C3">
      <w:pPr>
        <w:pStyle w:val="ListParagraph"/>
        <w:numPr>
          <w:ilvl w:val="0"/>
          <w:numId w:val="2"/>
        </w:numPr>
        <w:jc w:val="both"/>
        <w:rPr>
          <w:rFonts w:ascii="PMingLiU" w:eastAsia="PMingLiU" w:hAnsi="PMingLiU" w:cstheme="minorBidi"/>
          <w:sz w:val="20"/>
          <w:szCs w:val="20"/>
        </w:rPr>
      </w:pPr>
      <w:proofErr w:type="spellStart"/>
      <w:r w:rsidRPr="006035C4">
        <w:rPr>
          <w:rFonts w:ascii="PMingLiU" w:eastAsia="PMingLiU" w:hAnsi="PMingLiU" w:cstheme="minorBidi"/>
          <w:sz w:val="20"/>
          <w:szCs w:val="20"/>
        </w:rPr>
        <w:t>Shreewastav</w:t>
      </w:r>
      <w:proofErr w:type="spellEnd"/>
      <w:r w:rsidRPr="006035C4">
        <w:rPr>
          <w:rFonts w:ascii="PMingLiU" w:eastAsia="PMingLiU" w:hAnsi="PMingLiU" w:cstheme="minorBidi"/>
          <w:sz w:val="20"/>
          <w:szCs w:val="20"/>
        </w:rPr>
        <w:t xml:space="preserve"> RK, Joshi BR, Yadav R, </w:t>
      </w:r>
      <w:proofErr w:type="spellStart"/>
      <w:r w:rsidRPr="006035C4">
        <w:rPr>
          <w:rFonts w:ascii="PMingLiU" w:eastAsia="PMingLiU" w:hAnsi="PMingLiU" w:cstheme="minorBidi"/>
          <w:sz w:val="20"/>
          <w:szCs w:val="20"/>
        </w:rPr>
        <w:t>Katwal</w:t>
      </w:r>
      <w:proofErr w:type="spellEnd"/>
      <w:r w:rsidRPr="006035C4">
        <w:rPr>
          <w:rFonts w:ascii="PMingLiU" w:eastAsia="PMingLiU" w:hAnsi="PMingLiU" w:cstheme="minorBidi"/>
          <w:sz w:val="20"/>
          <w:szCs w:val="20"/>
        </w:rPr>
        <w:t xml:space="preserve"> A, Shrestha S. Iron Profile and Status of Anemia with the Associated Factors in Chronic Kidney Disease Patients. Journal of Nepal Health Research Council. 2023 Sep 10;21(01):129-35.</w:t>
      </w:r>
    </w:p>
    <w:p w14:paraId="2DB2D386" w14:textId="77777777" w:rsidR="005C41F0" w:rsidRPr="006035C4" w:rsidRDefault="005C41F0" w:rsidP="007746C3">
      <w:pPr>
        <w:pStyle w:val="ListParagraph"/>
        <w:numPr>
          <w:ilvl w:val="0"/>
          <w:numId w:val="2"/>
        </w:numPr>
        <w:jc w:val="both"/>
        <w:rPr>
          <w:rFonts w:ascii="PMingLiU" w:eastAsia="PMingLiU" w:hAnsi="PMingLiU" w:cstheme="minorBidi"/>
          <w:sz w:val="20"/>
          <w:szCs w:val="20"/>
        </w:rPr>
      </w:pPr>
      <w:proofErr w:type="spellStart"/>
      <w:r w:rsidRPr="006035C4">
        <w:rPr>
          <w:rFonts w:ascii="PMingLiU" w:eastAsia="PMingLiU" w:hAnsi="PMingLiU" w:cstheme="minorBidi"/>
          <w:sz w:val="20"/>
          <w:szCs w:val="20"/>
        </w:rPr>
        <w:lastRenderedPageBreak/>
        <w:t>Makmun</w:t>
      </w:r>
      <w:proofErr w:type="spellEnd"/>
      <w:r w:rsidRPr="006035C4">
        <w:rPr>
          <w:rFonts w:ascii="PMingLiU" w:eastAsia="PMingLiU" w:hAnsi="PMingLiU" w:cstheme="minorBidi"/>
          <w:sz w:val="20"/>
          <w:szCs w:val="20"/>
        </w:rPr>
        <w:t xml:space="preserve"> A, </w:t>
      </w:r>
      <w:proofErr w:type="spellStart"/>
      <w:r w:rsidRPr="006035C4">
        <w:rPr>
          <w:rFonts w:ascii="PMingLiU" w:eastAsia="PMingLiU" w:hAnsi="PMingLiU" w:cstheme="minorBidi"/>
          <w:sz w:val="20"/>
          <w:szCs w:val="20"/>
        </w:rPr>
        <w:t>Satirapoj</w:t>
      </w:r>
      <w:proofErr w:type="spellEnd"/>
      <w:r w:rsidRPr="006035C4">
        <w:rPr>
          <w:rFonts w:ascii="PMingLiU" w:eastAsia="PMingLiU" w:hAnsi="PMingLiU" w:cstheme="minorBidi"/>
          <w:sz w:val="20"/>
          <w:szCs w:val="20"/>
        </w:rPr>
        <w:t xml:space="preserve"> B, Foo MW, </w:t>
      </w:r>
      <w:proofErr w:type="spellStart"/>
      <w:r w:rsidRPr="006035C4">
        <w:rPr>
          <w:rFonts w:ascii="PMingLiU" w:eastAsia="PMingLiU" w:hAnsi="PMingLiU" w:cstheme="minorBidi"/>
          <w:sz w:val="20"/>
          <w:szCs w:val="20"/>
        </w:rPr>
        <w:t>Danguilan</w:t>
      </w:r>
      <w:proofErr w:type="spellEnd"/>
      <w:r w:rsidRPr="006035C4">
        <w:rPr>
          <w:rFonts w:ascii="PMingLiU" w:eastAsia="PMingLiU" w:hAnsi="PMingLiU" w:cstheme="minorBidi"/>
          <w:sz w:val="20"/>
          <w:szCs w:val="20"/>
        </w:rPr>
        <w:t xml:space="preserve"> R, Gulati S, Kim S, </w:t>
      </w:r>
      <w:proofErr w:type="spellStart"/>
      <w:r w:rsidRPr="006035C4">
        <w:rPr>
          <w:rFonts w:ascii="PMingLiU" w:eastAsia="PMingLiU" w:hAnsi="PMingLiU" w:cstheme="minorBidi"/>
          <w:sz w:val="20"/>
          <w:szCs w:val="20"/>
        </w:rPr>
        <w:t>Bavanandan</w:t>
      </w:r>
      <w:proofErr w:type="spellEnd"/>
      <w:r w:rsidRPr="006035C4">
        <w:rPr>
          <w:rFonts w:ascii="PMingLiU" w:eastAsia="PMingLiU" w:hAnsi="PMingLiU" w:cstheme="minorBidi"/>
          <w:sz w:val="20"/>
          <w:szCs w:val="20"/>
        </w:rPr>
        <w:t xml:space="preserve"> S, Chiu YW, Tang SC. The burden of chronic kidney disease in Asia region: a review of the evidence, current challenges, and future directions. Kidney Research and Clinical Practice. 2024 Sep 9;44(3):411.</w:t>
      </w:r>
    </w:p>
    <w:p w14:paraId="78E1C7BB" w14:textId="77777777" w:rsidR="005C41F0" w:rsidRPr="006035C4" w:rsidRDefault="005C41F0" w:rsidP="007746C3">
      <w:pPr>
        <w:pStyle w:val="ListParagraph"/>
        <w:numPr>
          <w:ilvl w:val="0"/>
          <w:numId w:val="2"/>
        </w:numPr>
        <w:jc w:val="both"/>
        <w:rPr>
          <w:rFonts w:ascii="PMingLiU" w:eastAsia="PMingLiU" w:hAnsi="PMingLiU" w:cstheme="minorBidi"/>
          <w:sz w:val="20"/>
          <w:szCs w:val="20"/>
        </w:rPr>
      </w:pPr>
      <w:r w:rsidRPr="006035C4">
        <w:rPr>
          <w:rFonts w:ascii="PMingLiU" w:eastAsia="PMingLiU" w:hAnsi="PMingLiU" w:cstheme="minorBidi"/>
          <w:sz w:val="20"/>
          <w:szCs w:val="20"/>
        </w:rPr>
        <w:t xml:space="preserve">Mark P, Bhandari S, Shah S, Jaffer A, </w:t>
      </w:r>
      <w:proofErr w:type="spellStart"/>
      <w:r w:rsidRPr="006035C4">
        <w:rPr>
          <w:rFonts w:ascii="PMingLiU" w:eastAsia="PMingLiU" w:hAnsi="PMingLiU" w:cstheme="minorBidi"/>
          <w:sz w:val="20"/>
          <w:szCs w:val="20"/>
        </w:rPr>
        <w:t>Mallindine</w:t>
      </w:r>
      <w:proofErr w:type="spellEnd"/>
      <w:r w:rsidRPr="006035C4">
        <w:rPr>
          <w:rFonts w:ascii="PMingLiU" w:eastAsia="PMingLiU" w:hAnsi="PMingLiU" w:cstheme="minorBidi"/>
          <w:sz w:val="20"/>
          <w:szCs w:val="20"/>
        </w:rPr>
        <w:t xml:space="preserve"> C, Ashcroft R, Williams J, Bangura B, Benton S, Dunleavy A, Barratt J. Management of </w:t>
      </w:r>
      <w:proofErr w:type="spellStart"/>
      <w:r w:rsidRPr="006035C4">
        <w:rPr>
          <w:rFonts w:ascii="PMingLiU" w:eastAsia="PMingLiU" w:hAnsi="PMingLiU" w:cstheme="minorBidi"/>
          <w:sz w:val="20"/>
          <w:szCs w:val="20"/>
        </w:rPr>
        <w:t>anaemia</w:t>
      </w:r>
      <w:proofErr w:type="spellEnd"/>
      <w:r w:rsidRPr="006035C4">
        <w:rPr>
          <w:rFonts w:ascii="PMingLiU" w:eastAsia="PMingLiU" w:hAnsi="PMingLiU" w:cstheme="minorBidi"/>
          <w:sz w:val="20"/>
          <w:szCs w:val="20"/>
        </w:rPr>
        <w:t xml:space="preserve"> in chronic kidney disease: challenges and opportunities. Journal of Kidney Care. 2023 Sep 1;8(Sup5</w:t>
      </w:r>
      <w:proofErr w:type="gramStart"/>
      <w:r w:rsidRPr="006035C4">
        <w:rPr>
          <w:rFonts w:ascii="PMingLiU" w:eastAsia="PMingLiU" w:hAnsi="PMingLiU" w:cstheme="minorBidi"/>
          <w:sz w:val="20"/>
          <w:szCs w:val="20"/>
        </w:rPr>
        <w:t>):S</w:t>
      </w:r>
      <w:proofErr w:type="gramEnd"/>
      <w:r w:rsidRPr="006035C4">
        <w:rPr>
          <w:rFonts w:ascii="PMingLiU" w:eastAsia="PMingLiU" w:hAnsi="PMingLiU" w:cstheme="minorBidi"/>
          <w:sz w:val="20"/>
          <w:szCs w:val="20"/>
        </w:rPr>
        <w:t>1-24.</w:t>
      </w:r>
    </w:p>
    <w:p w14:paraId="1975E8FE" w14:textId="77777777" w:rsidR="005C41F0" w:rsidRPr="006035C4" w:rsidRDefault="005C41F0" w:rsidP="007746C3">
      <w:pPr>
        <w:pStyle w:val="ListParagraph"/>
        <w:numPr>
          <w:ilvl w:val="0"/>
          <w:numId w:val="2"/>
        </w:numPr>
        <w:jc w:val="both"/>
        <w:rPr>
          <w:rFonts w:ascii="PMingLiU" w:eastAsia="PMingLiU" w:hAnsi="PMingLiU" w:cstheme="minorBidi"/>
          <w:sz w:val="20"/>
          <w:szCs w:val="20"/>
        </w:rPr>
      </w:pPr>
      <w:r w:rsidRPr="006035C4">
        <w:rPr>
          <w:rFonts w:ascii="PMingLiU" w:eastAsia="PMingLiU" w:hAnsi="PMingLiU" w:cstheme="minorBidi"/>
          <w:sz w:val="20"/>
          <w:szCs w:val="20"/>
        </w:rPr>
        <w:t xml:space="preserve">Macdougall IC. Iron therapy for managing </w:t>
      </w:r>
      <w:proofErr w:type="spellStart"/>
      <w:r w:rsidRPr="006035C4">
        <w:rPr>
          <w:rFonts w:ascii="PMingLiU" w:eastAsia="PMingLiU" w:hAnsi="PMingLiU" w:cstheme="minorBidi"/>
          <w:sz w:val="20"/>
          <w:szCs w:val="20"/>
        </w:rPr>
        <w:t>anaemia</w:t>
      </w:r>
      <w:proofErr w:type="spellEnd"/>
      <w:r w:rsidRPr="006035C4">
        <w:rPr>
          <w:rFonts w:ascii="PMingLiU" w:eastAsia="PMingLiU" w:hAnsi="PMingLiU" w:cstheme="minorBidi"/>
          <w:sz w:val="20"/>
          <w:szCs w:val="20"/>
        </w:rPr>
        <w:t xml:space="preserve"> in chronic kidney disease. Current opinion in nephrology and hypertension. 2018 Sep 1;27(5):358-63.</w:t>
      </w:r>
    </w:p>
    <w:p w14:paraId="0C14ECDE" w14:textId="77777777" w:rsidR="005C41F0" w:rsidRPr="006035C4" w:rsidRDefault="005C41F0" w:rsidP="007746C3">
      <w:pPr>
        <w:pStyle w:val="ListParagraph"/>
        <w:numPr>
          <w:ilvl w:val="0"/>
          <w:numId w:val="2"/>
        </w:numPr>
        <w:jc w:val="both"/>
        <w:rPr>
          <w:rFonts w:ascii="PMingLiU" w:eastAsia="PMingLiU" w:hAnsi="PMingLiU" w:cstheme="minorBidi"/>
          <w:sz w:val="20"/>
          <w:szCs w:val="20"/>
        </w:rPr>
      </w:pPr>
      <w:r w:rsidRPr="006035C4">
        <w:rPr>
          <w:rFonts w:ascii="PMingLiU" w:eastAsia="PMingLiU" w:hAnsi="PMingLiU" w:cstheme="minorBidi"/>
          <w:sz w:val="20"/>
          <w:szCs w:val="20"/>
        </w:rPr>
        <w:t xml:space="preserve">Timofte D, Tanasescu MD, Balan DG, Tulin A, Stiru O, Vacaroiu IA, Mihai A, Popa CC, </w:t>
      </w:r>
      <w:proofErr w:type="spellStart"/>
      <w:r w:rsidRPr="006035C4">
        <w:rPr>
          <w:rFonts w:ascii="PMingLiU" w:eastAsia="PMingLiU" w:hAnsi="PMingLiU" w:cstheme="minorBidi"/>
          <w:sz w:val="20"/>
          <w:szCs w:val="20"/>
        </w:rPr>
        <w:t>Cosconel</w:t>
      </w:r>
      <w:proofErr w:type="spellEnd"/>
      <w:r w:rsidRPr="006035C4">
        <w:rPr>
          <w:rFonts w:ascii="PMingLiU" w:eastAsia="PMingLiU" w:hAnsi="PMingLiU" w:cstheme="minorBidi"/>
          <w:sz w:val="20"/>
          <w:szCs w:val="20"/>
        </w:rPr>
        <w:t xml:space="preserve"> CI, Enyedi M, </w:t>
      </w:r>
      <w:proofErr w:type="spellStart"/>
      <w:r w:rsidRPr="006035C4">
        <w:rPr>
          <w:rFonts w:ascii="PMingLiU" w:eastAsia="PMingLiU" w:hAnsi="PMingLiU" w:cstheme="minorBidi"/>
          <w:sz w:val="20"/>
          <w:szCs w:val="20"/>
        </w:rPr>
        <w:t>Miricescu</w:t>
      </w:r>
      <w:proofErr w:type="spellEnd"/>
      <w:r w:rsidRPr="006035C4">
        <w:rPr>
          <w:rFonts w:ascii="PMingLiU" w:eastAsia="PMingLiU" w:hAnsi="PMingLiU" w:cstheme="minorBidi"/>
          <w:sz w:val="20"/>
          <w:szCs w:val="20"/>
        </w:rPr>
        <w:t xml:space="preserve"> D. Management of acute intradialytic cardiovascular complications: Updated overview. Experimental and Therapeutic Medicine. 2021 Mar;21(3):282.</w:t>
      </w:r>
    </w:p>
    <w:p w14:paraId="64E09242" w14:textId="77777777" w:rsidR="0010320F" w:rsidRPr="006035C4" w:rsidRDefault="0010320F" w:rsidP="007746C3">
      <w:pPr>
        <w:pStyle w:val="ListParagraph"/>
        <w:numPr>
          <w:ilvl w:val="0"/>
          <w:numId w:val="2"/>
        </w:numPr>
        <w:jc w:val="both"/>
        <w:rPr>
          <w:rFonts w:ascii="PMingLiU" w:eastAsia="PMingLiU" w:hAnsi="PMingLiU" w:cstheme="minorBidi"/>
          <w:sz w:val="20"/>
          <w:szCs w:val="20"/>
        </w:rPr>
      </w:pPr>
      <w:proofErr w:type="spellStart"/>
      <w:r w:rsidRPr="006035C4">
        <w:rPr>
          <w:rFonts w:ascii="PMingLiU" w:eastAsia="PMingLiU" w:hAnsi="PMingLiU" w:cstheme="minorBidi"/>
          <w:sz w:val="20"/>
          <w:szCs w:val="20"/>
        </w:rPr>
        <w:t>Alhejazi</w:t>
      </w:r>
      <w:proofErr w:type="spellEnd"/>
      <w:r w:rsidRPr="006035C4">
        <w:rPr>
          <w:rFonts w:ascii="PMingLiU" w:eastAsia="PMingLiU" w:hAnsi="PMingLiU" w:cstheme="minorBidi"/>
          <w:sz w:val="20"/>
          <w:szCs w:val="20"/>
        </w:rPr>
        <w:t xml:space="preserve"> A, </w:t>
      </w:r>
      <w:proofErr w:type="spellStart"/>
      <w:r w:rsidRPr="006035C4">
        <w:rPr>
          <w:rFonts w:ascii="PMingLiU" w:eastAsia="PMingLiU" w:hAnsi="PMingLiU" w:cstheme="minorBidi"/>
          <w:sz w:val="20"/>
          <w:szCs w:val="20"/>
        </w:rPr>
        <w:t>Alhuraiji</w:t>
      </w:r>
      <w:proofErr w:type="spellEnd"/>
      <w:r w:rsidRPr="006035C4">
        <w:rPr>
          <w:rFonts w:ascii="PMingLiU" w:eastAsia="PMingLiU" w:hAnsi="PMingLiU" w:cstheme="minorBidi"/>
          <w:sz w:val="20"/>
          <w:szCs w:val="20"/>
        </w:rPr>
        <w:t xml:space="preserve"> A, </w:t>
      </w:r>
      <w:proofErr w:type="spellStart"/>
      <w:r w:rsidRPr="006035C4">
        <w:rPr>
          <w:rFonts w:ascii="PMingLiU" w:eastAsia="PMingLiU" w:hAnsi="PMingLiU" w:cstheme="minorBidi"/>
          <w:sz w:val="20"/>
          <w:szCs w:val="20"/>
        </w:rPr>
        <w:t>Nourallah</w:t>
      </w:r>
      <w:proofErr w:type="spellEnd"/>
      <w:r w:rsidRPr="006035C4">
        <w:rPr>
          <w:rFonts w:ascii="PMingLiU" w:eastAsia="PMingLiU" w:hAnsi="PMingLiU" w:cstheme="minorBidi"/>
          <w:sz w:val="20"/>
          <w:szCs w:val="20"/>
        </w:rPr>
        <w:t xml:space="preserve"> A, Alshehri A, Usman B, ElGohary G, Malhan H, </w:t>
      </w:r>
      <w:proofErr w:type="spellStart"/>
      <w:r w:rsidRPr="006035C4">
        <w:rPr>
          <w:rFonts w:ascii="PMingLiU" w:eastAsia="PMingLiU" w:hAnsi="PMingLiU" w:cstheme="minorBidi"/>
          <w:sz w:val="20"/>
          <w:szCs w:val="20"/>
        </w:rPr>
        <w:t>Motabi</w:t>
      </w:r>
      <w:proofErr w:type="spellEnd"/>
      <w:r w:rsidRPr="006035C4">
        <w:rPr>
          <w:rFonts w:ascii="PMingLiU" w:eastAsia="PMingLiU" w:hAnsi="PMingLiU" w:cstheme="minorBidi"/>
          <w:sz w:val="20"/>
          <w:szCs w:val="20"/>
        </w:rPr>
        <w:t xml:space="preserve"> I, Al Farsi10 K, Alshuaibi11 M, Diab12 M. Analysis of pharmacotherapeutic approaches.</w:t>
      </w:r>
    </w:p>
    <w:p w14:paraId="6161B648" w14:textId="77777777" w:rsidR="0010320F" w:rsidRPr="006035C4" w:rsidRDefault="0010320F" w:rsidP="007746C3">
      <w:pPr>
        <w:pStyle w:val="ListParagraph"/>
        <w:numPr>
          <w:ilvl w:val="0"/>
          <w:numId w:val="2"/>
        </w:numPr>
        <w:jc w:val="both"/>
        <w:rPr>
          <w:rFonts w:ascii="PMingLiU" w:eastAsia="PMingLiU" w:hAnsi="PMingLiU" w:cstheme="minorBidi"/>
          <w:sz w:val="20"/>
          <w:szCs w:val="20"/>
        </w:rPr>
      </w:pPr>
      <w:r w:rsidRPr="006035C4">
        <w:rPr>
          <w:rFonts w:ascii="PMingLiU" w:eastAsia="PMingLiU" w:hAnsi="PMingLiU" w:cstheme="minorBidi"/>
          <w:sz w:val="20"/>
          <w:szCs w:val="20"/>
        </w:rPr>
        <w:t xml:space="preserve">Almalki WH, </w:t>
      </w:r>
      <w:proofErr w:type="spellStart"/>
      <w:r w:rsidRPr="006035C4">
        <w:rPr>
          <w:rFonts w:ascii="PMingLiU" w:eastAsia="PMingLiU" w:hAnsi="PMingLiU" w:cstheme="minorBidi"/>
          <w:sz w:val="20"/>
          <w:szCs w:val="20"/>
        </w:rPr>
        <w:t>Almujri</w:t>
      </w:r>
      <w:proofErr w:type="spellEnd"/>
      <w:r w:rsidRPr="006035C4">
        <w:rPr>
          <w:rFonts w:ascii="PMingLiU" w:eastAsia="PMingLiU" w:hAnsi="PMingLiU" w:cstheme="minorBidi"/>
          <w:sz w:val="20"/>
          <w:szCs w:val="20"/>
        </w:rPr>
        <w:t xml:space="preserve"> SS. Oxidative stress and senescence in aging kidneys: the protective role of SIRT1. </w:t>
      </w:r>
      <w:proofErr w:type="spellStart"/>
      <w:r w:rsidRPr="006035C4">
        <w:rPr>
          <w:rFonts w:ascii="PMingLiU" w:eastAsia="PMingLiU" w:hAnsi="PMingLiU" w:cstheme="minorBidi"/>
          <w:sz w:val="20"/>
          <w:szCs w:val="20"/>
        </w:rPr>
        <w:t>Excli</w:t>
      </w:r>
      <w:proofErr w:type="spellEnd"/>
      <w:r w:rsidRPr="006035C4">
        <w:rPr>
          <w:rFonts w:ascii="PMingLiU" w:eastAsia="PMingLiU" w:hAnsi="PMingLiU" w:cstheme="minorBidi"/>
          <w:sz w:val="20"/>
          <w:szCs w:val="20"/>
        </w:rPr>
        <w:t xml:space="preserve"> Journal. 2024 Aug </w:t>
      </w:r>
      <w:proofErr w:type="gramStart"/>
      <w:r w:rsidRPr="006035C4">
        <w:rPr>
          <w:rFonts w:ascii="PMingLiU" w:eastAsia="PMingLiU" w:hAnsi="PMingLiU" w:cstheme="minorBidi"/>
          <w:sz w:val="20"/>
          <w:szCs w:val="20"/>
        </w:rPr>
        <w:t>27;23:1030</w:t>
      </w:r>
      <w:proofErr w:type="gramEnd"/>
      <w:r w:rsidRPr="006035C4">
        <w:rPr>
          <w:rFonts w:ascii="PMingLiU" w:eastAsia="PMingLiU" w:hAnsi="PMingLiU" w:cstheme="minorBidi"/>
          <w:sz w:val="20"/>
          <w:szCs w:val="20"/>
        </w:rPr>
        <w:t>.</w:t>
      </w:r>
    </w:p>
    <w:p w14:paraId="6ADB2C35" w14:textId="77777777" w:rsidR="0010320F" w:rsidRPr="006035C4" w:rsidRDefault="0010320F" w:rsidP="007746C3">
      <w:pPr>
        <w:pStyle w:val="ListParagraph"/>
        <w:numPr>
          <w:ilvl w:val="0"/>
          <w:numId w:val="2"/>
        </w:numPr>
        <w:jc w:val="both"/>
        <w:rPr>
          <w:rFonts w:ascii="PMingLiU" w:eastAsia="PMingLiU" w:hAnsi="PMingLiU" w:cstheme="minorBidi"/>
          <w:sz w:val="20"/>
          <w:szCs w:val="20"/>
        </w:rPr>
      </w:pPr>
      <w:r w:rsidRPr="006035C4">
        <w:rPr>
          <w:rFonts w:ascii="PMingLiU" w:eastAsia="PMingLiU" w:hAnsi="PMingLiU" w:cstheme="minorBidi"/>
          <w:sz w:val="20"/>
          <w:szCs w:val="20"/>
        </w:rPr>
        <w:t xml:space="preserve">Gómez-Ramírez S, Brilli E, Tarantino G, </w:t>
      </w:r>
      <w:proofErr w:type="spellStart"/>
      <w:r w:rsidRPr="006035C4">
        <w:rPr>
          <w:rFonts w:ascii="PMingLiU" w:eastAsia="PMingLiU" w:hAnsi="PMingLiU" w:cstheme="minorBidi"/>
          <w:sz w:val="20"/>
          <w:szCs w:val="20"/>
        </w:rPr>
        <w:t>Girelli</w:t>
      </w:r>
      <w:proofErr w:type="spellEnd"/>
      <w:r w:rsidRPr="006035C4">
        <w:rPr>
          <w:rFonts w:ascii="PMingLiU" w:eastAsia="PMingLiU" w:hAnsi="PMingLiU" w:cstheme="minorBidi"/>
          <w:sz w:val="20"/>
          <w:szCs w:val="20"/>
        </w:rPr>
        <w:t xml:space="preserve"> D, Muñoz M. </w:t>
      </w:r>
      <w:proofErr w:type="spellStart"/>
      <w:r w:rsidRPr="006035C4">
        <w:rPr>
          <w:rFonts w:ascii="PMingLiU" w:eastAsia="PMingLiU" w:hAnsi="PMingLiU" w:cstheme="minorBidi"/>
          <w:sz w:val="20"/>
          <w:szCs w:val="20"/>
        </w:rPr>
        <w:t>Sucrosomial</w:t>
      </w:r>
      <w:proofErr w:type="spellEnd"/>
      <w:r w:rsidRPr="006035C4">
        <w:rPr>
          <w:rFonts w:ascii="PMingLiU" w:eastAsia="PMingLiU" w:hAnsi="PMingLiU" w:cstheme="minorBidi"/>
          <w:sz w:val="20"/>
          <w:szCs w:val="20"/>
        </w:rPr>
        <w:t>® iron: an updated review of its clinical efficacy for the treatment of iron deficiency. Pharmaceuticals. 2023 Jun 6;16(6):847.</w:t>
      </w:r>
    </w:p>
    <w:p w14:paraId="14031B85" w14:textId="77777777" w:rsidR="0010320F" w:rsidRPr="006035C4" w:rsidRDefault="0010320F" w:rsidP="007746C3">
      <w:pPr>
        <w:pStyle w:val="ListParagraph"/>
        <w:numPr>
          <w:ilvl w:val="0"/>
          <w:numId w:val="2"/>
        </w:numPr>
        <w:jc w:val="both"/>
        <w:rPr>
          <w:rFonts w:ascii="PMingLiU" w:eastAsia="PMingLiU" w:hAnsi="PMingLiU" w:cstheme="minorBidi"/>
          <w:sz w:val="20"/>
          <w:szCs w:val="20"/>
        </w:rPr>
      </w:pPr>
      <w:r w:rsidRPr="006035C4">
        <w:rPr>
          <w:rFonts w:ascii="PMingLiU" w:eastAsia="PMingLiU" w:hAnsi="PMingLiU" w:cstheme="minorBidi"/>
          <w:sz w:val="20"/>
          <w:szCs w:val="20"/>
        </w:rPr>
        <w:t>Chen FY, Chang WC, Kao ZK, Tan AC, Li SY, Yang CY, Lin H, Lin CC. Optimizing care for chronic kidney disease: Considerations from A to Z. Journal of the Chinese Medical Association. 2025 Oct 1;88(10):738-46.</w:t>
      </w:r>
    </w:p>
    <w:p w14:paraId="002AD600" w14:textId="77777777" w:rsidR="0010320F" w:rsidRPr="006035C4" w:rsidRDefault="0010320F" w:rsidP="007746C3">
      <w:pPr>
        <w:pStyle w:val="ListParagraph"/>
        <w:numPr>
          <w:ilvl w:val="0"/>
          <w:numId w:val="2"/>
        </w:numPr>
        <w:jc w:val="both"/>
        <w:rPr>
          <w:rFonts w:ascii="PMingLiU" w:eastAsia="PMingLiU" w:hAnsi="PMingLiU" w:cstheme="minorBidi"/>
          <w:sz w:val="20"/>
          <w:szCs w:val="20"/>
        </w:rPr>
      </w:pPr>
      <w:proofErr w:type="spellStart"/>
      <w:r w:rsidRPr="006035C4">
        <w:rPr>
          <w:rFonts w:ascii="PMingLiU" w:eastAsia="PMingLiU" w:hAnsi="PMingLiU" w:cstheme="minorBidi"/>
          <w:sz w:val="20"/>
          <w:szCs w:val="20"/>
        </w:rPr>
        <w:t>Kuragano</w:t>
      </w:r>
      <w:proofErr w:type="spellEnd"/>
      <w:r w:rsidRPr="006035C4">
        <w:rPr>
          <w:rFonts w:ascii="PMingLiU" w:eastAsia="PMingLiU" w:hAnsi="PMingLiU" w:cstheme="minorBidi"/>
          <w:sz w:val="20"/>
          <w:szCs w:val="20"/>
        </w:rPr>
        <w:t xml:space="preserve"> T, Okami S, Tanaka-Mizuno S, Uenaka H, Kimura T, Ishida Y, Yoshikawa-Ryan K, James G, </w:t>
      </w:r>
      <w:proofErr w:type="spellStart"/>
      <w:r w:rsidRPr="006035C4">
        <w:rPr>
          <w:rFonts w:ascii="PMingLiU" w:eastAsia="PMingLiU" w:hAnsi="PMingLiU" w:cstheme="minorBidi"/>
          <w:sz w:val="20"/>
          <w:szCs w:val="20"/>
        </w:rPr>
        <w:t>Hayasaki</w:t>
      </w:r>
      <w:proofErr w:type="spellEnd"/>
      <w:r w:rsidRPr="006035C4">
        <w:rPr>
          <w:rFonts w:ascii="PMingLiU" w:eastAsia="PMingLiU" w:hAnsi="PMingLiU" w:cstheme="minorBidi"/>
          <w:sz w:val="20"/>
          <w:szCs w:val="20"/>
        </w:rPr>
        <w:t xml:space="preserve"> T. Anemia treatment, hemoglobin variability, and clinical events in patients with </w:t>
      </w:r>
      <w:proofErr w:type="spellStart"/>
      <w:r w:rsidRPr="006035C4">
        <w:rPr>
          <w:rFonts w:ascii="PMingLiU" w:eastAsia="PMingLiU" w:hAnsi="PMingLiU" w:cstheme="minorBidi"/>
          <w:sz w:val="20"/>
          <w:szCs w:val="20"/>
        </w:rPr>
        <w:t>nondialysis</w:t>
      </w:r>
      <w:proofErr w:type="spellEnd"/>
      <w:r w:rsidRPr="006035C4">
        <w:rPr>
          <w:rFonts w:ascii="PMingLiU" w:eastAsia="PMingLiU" w:hAnsi="PMingLiU" w:cstheme="minorBidi"/>
          <w:sz w:val="20"/>
          <w:szCs w:val="20"/>
        </w:rPr>
        <w:t>-dependent CKD in Japan. Kidney360. 2023 Sep 1;4(9</w:t>
      </w:r>
      <w:proofErr w:type="gramStart"/>
      <w:r w:rsidRPr="006035C4">
        <w:rPr>
          <w:rFonts w:ascii="PMingLiU" w:eastAsia="PMingLiU" w:hAnsi="PMingLiU" w:cstheme="minorBidi"/>
          <w:sz w:val="20"/>
          <w:szCs w:val="20"/>
        </w:rPr>
        <w:t>):e</w:t>
      </w:r>
      <w:proofErr w:type="gramEnd"/>
      <w:r w:rsidRPr="006035C4">
        <w:rPr>
          <w:rFonts w:ascii="PMingLiU" w:eastAsia="PMingLiU" w:hAnsi="PMingLiU" w:cstheme="minorBidi"/>
          <w:sz w:val="20"/>
          <w:szCs w:val="20"/>
        </w:rPr>
        <w:t>1223-35.</w:t>
      </w:r>
    </w:p>
    <w:p w14:paraId="0D00E118" w14:textId="77777777" w:rsidR="0010320F" w:rsidRPr="006035C4" w:rsidRDefault="0010320F" w:rsidP="007746C3">
      <w:pPr>
        <w:pStyle w:val="ListParagraph"/>
        <w:numPr>
          <w:ilvl w:val="0"/>
          <w:numId w:val="2"/>
        </w:numPr>
        <w:jc w:val="both"/>
        <w:rPr>
          <w:rFonts w:ascii="PMingLiU" w:eastAsia="PMingLiU" w:hAnsi="PMingLiU" w:cstheme="minorBidi"/>
          <w:sz w:val="20"/>
          <w:szCs w:val="20"/>
        </w:rPr>
      </w:pPr>
      <w:r w:rsidRPr="006035C4">
        <w:rPr>
          <w:rFonts w:ascii="PMingLiU" w:eastAsia="PMingLiU" w:hAnsi="PMingLiU" w:cstheme="minorBidi"/>
          <w:sz w:val="20"/>
          <w:szCs w:val="20"/>
        </w:rPr>
        <w:t>Chang JT, Lin CJ, Yeh JH, Tsai CH, Hsieh IS, Chang PY. Sex-and stage-specific predictors of anemia in chronic kidney disease: A retrospective cohort study. Journal of Clinical Medicine. 2025 Apr 29;14(9):3088.</w:t>
      </w:r>
    </w:p>
    <w:p w14:paraId="72F36819" w14:textId="77777777" w:rsidR="00FE74D0" w:rsidRPr="006035C4" w:rsidRDefault="00FE74D0" w:rsidP="007746C3">
      <w:pPr>
        <w:pStyle w:val="ListParagraph"/>
        <w:numPr>
          <w:ilvl w:val="0"/>
          <w:numId w:val="2"/>
        </w:numPr>
        <w:jc w:val="both"/>
        <w:rPr>
          <w:rFonts w:ascii="PMingLiU" w:eastAsia="PMingLiU" w:hAnsi="PMingLiU" w:cstheme="minorBidi"/>
          <w:sz w:val="20"/>
          <w:szCs w:val="20"/>
        </w:rPr>
      </w:pPr>
      <w:r w:rsidRPr="006035C4">
        <w:rPr>
          <w:rFonts w:ascii="PMingLiU" w:eastAsia="PMingLiU" w:hAnsi="PMingLiU" w:cstheme="minorBidi"/>
          <w:sz w:val="20"/>
          <w:szCs w:val="20"/>
        </w:rPr>
        <w:t>Jawad KS. Incidence and determinants of hypertensive disorders of pregnancy in the US: hospitalization discharge rate for preeclampsia, eclampsia, and gestational hypertensions, 2016-2018.</w:t>
      </w:r>
    </w:p>
    <w:p w14:paraId="72B97FF3" w14:textId="77777777" w:rsidR="00A34267" w:rsidRPr="006035C4" w:rsidRDefault="00A34267" w:rsidP="007746C3">
      <w:pPr>
        <w:pStyle w:val="ListParagraph"/>
        <w:numPr>
          <w:ilvl w:val="0"/>
          <w:numId w:val="2"/>
        </w:numPr>
        <w:jc w:val="both"/>
        <w:rPr>
          <w:rFonts w:ascii="PMingLiU" w:eastAsia="PMingLiU" w:hAnsi="PMingLiU" w:cstheme="minorBidi"/>
          <w:sz w:val="20"/>
          <w:szCs w:val="20"/>
        </w:rPr>
      </w:pPr>
      <w:r w:rsidRPr="006035C4">
        <w:rPr>
          <w:rFonts w:ascii="PMingLiU" w:eastAsia="PMingLiU" w:hAnsi="PMingLiU" w:cstheme="minorBidi"/>
          <w:sz w:val="20"/>
          <w:szCs w:val="20"/>
        </w:rPr>
        <w:t xml:space="preserve">Gordon H, </w:t>
      </w:r>
      <w:proofErr w:type="spellStart"/>
      <w:r w:rsidRPr="006035C4">
        <w:rPr>
          <w:rFonts w:ascii="PMingLiU" w:eastAsia="PMingLiU" w:hAnsi="PMingLiU" w:cstheme="minorBidi"/>
          <w:sz w:val="20"/>
          <w:szCs w:val="20"/>
        </w:rPr>
        <w:t>Burisch</w:t>
      </w:r>
      <w:proofErr w:type="spellEnd"/>
      <w:r w:rsidRPr="006035C4">
        <w:rPr>
          <w:rFonts w:ascii="PMingLiU" w:eastAsia="PMingLiU" w:hAnsi="PMingLiU" w:cstheme="minorBidi"/>
          <w:sz w:val="20"/>
          <w:szCs w:val="20"/>
        </w:rPr>
        <w:t xml:space="preserve"> J, Ellul P, </w:t>
      </w:r>
      <w:proofErr w:type="spellStart"/>
      <w:r w:rsidRPr="006035C4">
        <w:rPr>
          <w:rFonts w:ascii="PMingLiU" w:eastAsia="PMingLiU" w:hAnsi="PMingLiU" w:cstheme="minorBidi"/>
          <w:sz w:val="20"/>
          <w:szCs w:val="20"/>
        </w:rPr>
        <w:t>Karmiris</w:t>
      </w:r>
      <w:proofErr w:type="spellEnd"/>
      <w:r w:rsidRPr="006035C4">
        <w:rPr>
          <w:rFonts w:ascii="PMingLiU" w:eastAsia="PMingLiU" w:hAnsi="PMingLiU" w:cstheme="minorBidi"/>
          <w:sz w:val="20"/>
          <w:szCs w:val="20"/>
        </w:rPr>
        <w:t xml:space="preserve"> K, Katsanos K, Allocca M, Bamias G, Barreiro-de Acosta M, Braithwaite T, Greuter T, Harwood C. ECCO guidelines on extraintestinal manifestations in inflammatory bowel disease. Journal of Crohn's and Colitis. 2024 Jan 1;18(1):1-37.</w:t>
      </w:r>
    </w:p>
    <w:p w14:paraId="2E45B63E" w14:textId="77777777" w:rsidR="002B6471" w:rsidRPr="006035C4" w:rsidRDefault="002B6471" w:rsidP="007746C3">
      <w:pPr>
        <w:pStyle w:val="ListParagraph"/>
        <w:numPr>
          <w:ilvl w:val="0"/>
          <w:numId w:val="2"/>
        </w:numPr>
        <w:jc w:val="both"/>
        <w:rPr>
          <w:rFonts w:ascii="PMingLiU" w:eastAsia="PMingLiU" w:hAnsi="PMingLiU" w:cstheme="minorBidi"/>
          <w:sz w:val="20"/>
          <w:szCs w:val="20"/>
        </w:rPr>
      </w:pPr>
      <w:r w:rsidRPr="006035C4">
        <w:rPr>
          <w:rFonts w:ascii="PMingLiU" w:eastAsia="PMingLiU" w:hAnsi="PMingLiU" w:cstheme="minorBidi"/>
          <w:sz w:val="20"/>
          <w:szCs w:val="20"/>
        </w:rPr>
        <w:t>Weir MR. Managing anemia across the stages of kidney disease in those hyporesponsive to erythropoiesis-stimulating agents. American Journal of Nephrology. 2021 Jul 19;52(6):450-66.</w:t>
      </w:r>
    </w:p>
    <w:p w14:paraId="50F6F551" w14:textId="1C9C8D16" w:rsidR="00B85009" w:rsidRPr="006035C4" w:rsidRDefault="002B6471" w:rsidP="007746C3">
      <w:pPr>
        <w:pStyle w:val="ListParagraph"/>
        <w:numPr>
          <w:ilvl w:val="0"/>
          <w:numId w:val="2"/>
        </w:numPr>
        <w:jc w:val="both"/>
        <w:rPr>
          <w:rFonts w:ascii="PMingLiU" w:eastAsia="PMingLiU" w:hAnsi="PMingLiU" w:cstheme="minorBidi"/>
          <w:sz w:val="20"/>
          <w:szCs w:val="20"/>
        </w:rPr>
      </w:pPr>
      <w:r w:rsidRPr="006035C4">
        <w:rPr>
          <w:rFonts w:ascii="PMingLiU" w:eastAsia="PMingLiU" w:hAnsi="PMingLiU" w:cstheme="minorBidi"/>
          <w:sz w:val="20"/>
          <w:szCs w:val="20"/>
        </w:rPr>
        <w:t xml:space="preserve">Aitken E, </w:t>
      </w:r>
      <w:proofErr w:type="spellStart"/>
      <w:r w:rsidRPr="006035C4">
        <w:rPr>
          <w:rFonts w:ascii="PMingLiU" w:eastAsia="PMingLiU" w:hAnsi="PMingLiU" w:cstheme="minorBidi"/>
          <w:sz w:val="20"/>
          <w:szCs w:val="20"/>
        </w:rPr>
        <w:t>Anijeet</w:t>
      </w:r>
      <w:proofErr w:type="spellEnd"/>
      <w:r w:rsidRPr="006035C4">
        <w:rPr>
          <w:rFonts w:ascii="PMingLiU" w:eastAsia="PMingLiU" w:hAnsi="PMingLiU" w:cstheme="minorBidi"/>
          <w:sz w:val="20"/>
          <w:szCs w:val="20"/>
        </w:rPr>
        <w:t xml:space="preserve"> H, Ashby D, Barrow W, Calder F, Dowds B, Fielding K, Gilbert J, Jones R, Karunanithy N. UK Kidney Association Clinical Practice Guideline. Vascular Access for </w:t>
      </w:r>
      <w:proofErr w:type="spellStart"/>
      <w:r w:rsidRPr="006035C4">
        <w:rPr>
          <w:rFonts w:ascii="PMingLiU" w:eastAsia="PMingLiU" w:hAnsi="PMingLiU" w:cstheme="minorBidi"/>
          <w:sz w:val="20"/>
          <w:szCs w:val="20"/>
        </w:rPr>
        <w:t>Haemodialysis</w:t>
      </w:r>
      <w:proofErr w:type="spellEnd"/>
      <w:r w:rsidRPr="006035C4">
        <w:rPr>
          <w:rFonts w:ascii="PMingLiU" w:eastAsia="PMingLiU" w:hAnsi="PMingLiU" w:cstheme="minorBidi"/>
          <w:sz w:val="20"/>
          <w:szCs w:val="20"/>
        </w:rPr>
        <w:t>. 2023-04-</w:t>
      </w:r>
      <w:proofErr w:type="gramStart"/>
      <w:r w:rsidRPr="006035C4">
        <w:rPr>
          <w:rFonts w:ascii="PMingLiU" w:eastAsia="PMingLiU" w:hAnsi="PMingLiU" w:cstheme="minorBidi"/>
          <w:sz w:val="20"/>
          <w:szCs w:val="20"/>
        </w:rPr>
        <w:t>05)[</w:t>
      </w:r>
      <w:proofErr w:type="gramEnd"/>
      <w:r w:rsidRPr="006035C4">
        <w:rPr>
          <w:rFonts w:ascii="PMingLiU" w:eastAsia="PMingLiU" w:hAnsi="PMingLiU" w:cstheme="minorBidi"/>
          <w:sz w:val="20"/>
          <w:szCs w:val="20"/>
        </w:rPr>
        <w:t>2028-04-05]. https://www. renal. org/guidelines. 2023.</w:t>
      </w:r>
    </w:p>
    <w:sectPr w:rsidR="00B85009" w:rsidRPr="006035C4" w:rsidSect="000979A2">
      <w:headerReference w:type="default" r:id="rId11"/>
      <w:footerReference w:type="even" r:id="rId12"/>
      <w:footerReference w:type="default" r:id="rId13"/>
      <w:pgSz w:w="12240" w:h="15840"/>
      <w:pgMar w:top="1440" w:right="1440" w:bottom="1440" w:left="1440" w:header="720" w:footer="720" w:gutter="0"/>
      <w:pgNumType w:start="1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E4935" w14:textId="77777777" w:rsidR="009166D9" w:rsidRDefault="009166D9" w:rsidP="007746C3">
      <w:pPr>
        <w:spacing w:after="0" w:line="240" w:lineRule="auto"/>
      </w:pPr>
      <w:r>
        <w:separator/>
      </w:r>
    </w:p>
  </w:endnote>
  <w:endnote w:type="continuationSeparator" w:id="0">
    <w:p w14:paraId="5447AF28" w14:textId="77777777" w:rsidR="009166D9" w:rsidRDefault="009166D9" w:rsidP="00774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mn-e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5695854"/>
      <w:docPartObj>
        <w:docPartGallery w:val="Page Numbers (Bottom of Page)"/>
        <w:docPartUnique/>
      </w:docPartObj>
    </w:sdtPr>
    <w:sdtContent>
      <w:p w14:paraId="3AC5BE40" w14:textId="2B578119" w:rsidR="000979A2" w:rsidRDefault="000979A2" w:rsidP="00C56E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58B76CD" w14:textId="77777777" w:rsidR="0037426C" w:rsidRDefault="0037426C" w:rsidP="000979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6773310"/>
      <w:docPartObj>
        <w:docPartGallery w:val="Page Numbers (Bottom of Page)"/>
        <w:docPartUnique/>
      </w:docPartObj>
    </w:sdtPr>
    <w:sdtContent>
      <w:p w14:paraId="76125391" w14:textId="682E5B4C" w:rsidR="000979A2" w:rsidRDefault="000979A2" w:rsidP="00C56E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0B78C746" w14:textId="003B2034" w:rsidR="0037426C" w:rsidRPr="0037426C" w:rsidRDefault="0037426C" w:rsidP="0037426C">
    <w:pPr>
      <w:pStyle w:val="Footer"/>
      <w:ind w:right="360"/>
      <w:rPr>
        <w:rFonts w:asciiTheme="minorBidi" w:hAnsiTheme="minorBidi"/>
        <w:b/>
        <w:bCs/>
      </w:rPr>
    </w:pPr>
    <w:r w:rsidRPr="00C54E9F">
      <w:rPr>
        <w:rFonts w:asciiTheme="minorBidi" w:hAnsiTheme="minorBidi"/>
        <w:b/>
        <w:bCs/>
      </w:rPr>
      <w:t>Pak J Kidney Dis 202</w:t>
    </w:r>
    <w:r>
      <w:rPr>
        <w:rFonts w:asciiTheme="minorBidi" w:hAnsiTheme="minorBidi"/>
        <w:b/>
        <w:bCs/>
      </w:rPr>
      <w:t>6</w:t>
    </w:r>
    <w:r w:rsidRPr="00C54E9F">
      <w:rPr>
        <w:rFonts w:asciiTheme="minorBidi" w:hAnsiTheme="minorBidi"/>
        <w:b/>
        <w:bCs/>
      </w:rPr>
      <w:t>:</w:t>
    </w:r>
    <w:r>
      <w:rPr>
        <w:rFonts w:asciiTheme="minorBidi" w:hAnsiTheme="minorBidi"/>
        <w:b/>
        <w:bCs/>
      </w:rPr>
      <w:t>10</w:t>
    </w:r>
    <w:r w:rsidRPr="00C54E9F">
      <w:rPr>
        <w:rFonts w:asciiTheme="minorBidi" w:hAnsiTheme="minorBidi"/>
        <w:b/>
        <w:bCs/>
      </w:rPr>
      <w:t>(</w:t>
    </w:r>
    <w:r>
      <w:rPr>
        <w:rFonts w:asciiTheme="minorBidi" w:hAnsiTheme="minorBidi"/>
        <w:b/>
        <w:bCs/>
      </w:rPr>
      <w:t>1</w:t>
    </w:r>
    <w:r w:rsidRPr="00C54E9F">
      <w:rPr>
        <w:rFonts w:asciiTheme="minorBidi" w:hAnsiTheme="minorBidi"/>
        <w:b/>
        <w:bCs/>
      </w:rPr>
      <w:t>):</w:t>
    </w:r>
    <w:r w:rsidR="000979A2">
      <w:rPr>
        <w:rFonts w:asciiTheme="minorBidi" w:hAnsiTheme="minorBidi"/>
        <w:b/>
        <w:bCs/>
      </w:rPr>
      <w:t>10-17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12305" w14:textId="77777777" w:rsidR="009166D9" w:rsidRDefault="009166D9" w:rsidP="007746C3">
      <w:pPr>
        <w:spacing w:after="0" w:line="240" w:lineRule="auto"/>
      </w:pPr>
      <w:r>
        <w:separator/>
      </w:r>
    </w:p>
  </w:footnote>
  <w:footnote w:type="continuationSeparator" w:id="0">
    <w:p w14:paraId="1B279254" w14:textId="77777777" w:rsidR="009166D9" w:rsidRDefault="009166D9" w:rsidP="007746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C7096" w14:textId="44B822AC" w:rsidR="007746C3" w:rsidRPr="007746C3" w:rsidRDefault="007746C3">
    <w:pPr>
      <w:pStyle w:val="Header"/>
      <w:rPr>
        <w:color w:val="C00000"/>
        <w:sz w:val="20"/>
        <w:szCs w:val="20"/>
      </w:rPr>
    </w:pPr>
    <w:r w:rsidRPr="007746C3">
      <w:rPr>
        <w:rFonts w:asciiTheme="minorBidi" w:hAnsiTheme="minorBidi"/>
        <w:b/>
        <w:bCs/>
        <w:color w:val="C00000"/>
        <w:sz w:val="20"/>
        <w:szCs w:val="20"/>
      </w:rPr>
      <w:t>Anemia Management Audit in Hemodialysis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05048"/>
    <w:multiLevelType w:val="hybridMultilevel"/>
    <w:tmpl w:val="0FBE6F2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EB1BCE"/>
    <w:multiLevelType w:val="hybridMultilevel"/>
    <w:tmpl w:val="1472AF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BE475B"/>
    <w:multiLevelType w:val="hybridMultilevel"/>
    <w:tmpl w:val="600C3FCA"/>
    <w:lvl w:ilvl="0" w:tplc="7D0489F2">
      <w:start w:val="1"/>
      <w:numFmt w:val="bullet"/>
      <w:lvlText w:val="•"/>
      <w:lvlJc w:val="left"/>
      <w:pPr>
        <w:tabs>
          <w:tab w:val="num" w:pos="720"/>
        </w:tabs>
        <w:ind w:left="720" w:hanging="360"/>
      </w:pPr>
      <w:rPr>
        <w:rFonts w:ascii="Arial" w:hAnsi="Arial" w:hint="default"/>
      </w:rPr>
    </w:lvl>
    <w:lvl w:ilvl="1" w:tplc="6C72C4A0" w:tentative="1">
      <w:start w:val="1"/>
      <w:numFmt w:val="bullet"/>
      <w:lvlText w:val="•"/>
      <w:lvlJc w:val="left"/>
      <w:pPr>
        <w:tabs>
          <w:tab w:val="num" w:pos="1440"/>
        </w:tabs>
        <w:ind w:left="1440" w:hanging="360"/>
      </w:pPr>
      <w:rPr>
        <w:rFonts w:ascii="Arial" w:hAnsi="Arial" w:hint="default"/>
      </w:rPr>
    </w:lvl>
    <w:lvl w:ilvl="2" w:tplc="C9E6FCB4" w:tentative="1">
      <w:start w:val="1"/>
      <w:numFmt w:val="bullet"/>
      <w:lvlText w:val="•"/>
      <w:lvlJc w:val="left"/>
      <w:pPr>
        <w:tabs>
          <w:tab w:val="num" w:pos="2160"/>
        </w:tabs>
        <w:ind w:left="2160" w:hanging="360"/>
      </w:pPr>
      <w:rPr>
        <w:rFonts w:ascii="Arial" w:hAnsi="Arial" w:hint="default"/>
      </w:rPr>
    </w:lvl>
    <w:lvl w:ilvl="3" w:tplc="229AC564" w:tentative="1">
      <w:start w:val="1"/>
      <w:numFmt w:val="bullet"/>
      <w:lvlText w:val="•"/>
      <w:lvlJc w:val="left"/>
      <w:pPr>
        <w:tabs>
          <w:tab w:val="num" w:pos="2880"/>
        </w:tabs>
        <w:ind w:left="2880" w:hanging="360"/>
      </w:pPr>
      <w:rPr>
        <w:rFonts w:ascii="Arial" w:hAnsi="Arial" w:hint="default"/>
      </w:rPr>
    </w:lvl>
    <w:lvl w:ilvl="4" w:tplc="30E4EBF6" w:tentative="1">
      <w:start w:val="1"/>
      <w:numFmt w:val="bullet"/>
      <w:lvlText w:val="•"/>
      <w:lvlJc w:val="left"/>
      <w:pPr>
        <w:tabs>
          <w:tab w:val="num" w:pos="3600"/>
        </w:tabs>
        <w:ind w:left="3600" w:hanging="360"/>
      </w:pPr>
      <w:rPr>
        <w:rFonts w:ascii="Arial" w:hAnsi="Arial" w:hint="default"/>
      </w:rPr>
    </w:lvl>
    <w:lvl w:ilvl="5" w:tplc="E26AB13E" w:tentative="1">
      <w:start w:val="1"/>
      <w:numFmt w:val="bullet"/>
      <w:lvlText w:val="•"/>
      <w:lvlJc w:val="left"/>
      <w:pPr>
        <w:tabs>
          <w:tab w:val="num" w:pos="4320"/>
        </w:tabs>
        <w:ind w:left="4320" w:hanging="360"/>
      </w:pPr>
      <w:rPr>
        <w:rFonts w:ascii="Arial" w:hAnsi="Arial" w:hint="default"/>
      </w:rPr>
    </w:lvl>
    <w:lvl w:ilvl="6" w:tplc="223A91DC" w:tentative="1">
      <w:start w:val="1"/>
      <w:numFmt w:val="bullet"/>
      <w:lvlText w:val="•"/>
      <w:lvlJc w:val="left"/>
      <w:pPr>
        <w:tabs>
          <w:tab w:val="num" w:pos="5040"/>
        </w:tabs>
        <w:ind w:left="5040" w:hanging="360"/>
      </w:pPr>
      <w:rPr>
        <w:rFonts w:ascii="Arial" w:hAnsi="Arial" w:hint="default"/>
      </w:rPr>
    </w:lvl>
    <w:lvl w:ilvl="7" w:tplc="4DAAFBA6" w:tentative="1">
      <w:start w:val="1"/>
      <w:numFmt w:val="bullet"/>
      <w:lvlText w:val="•"/>
      <w:lvlJc w:val="left"/>
      <w:pPr>
        <w:tabs>
          <w:tab w:val="num" w:pos="5760"/>
        </w:tabs>
        <w:ind w:left="5760" w:hanging="360"/>
      </w:pPr>
      <w:rPr>
        <w:rFonts w:ascii="Arial" w:hAnsi="Arial" w:hint="default"/>
      </w:rPr>
    </w:lvl>
    <w:lvl w:ilvl="8" w:tplc="CB4813F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0C74DA6"/>
    <w:multiLevelType w:val="hybridMultilevel"/>
    <w:tmpl w:val="26B43F9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E16068"/>
    <w:multiLevelType w:val="multilevel"/>
    <w:tmpl w:val="7D743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A45146"/>
    <w:multiLevelType w:val="hybridMultilevel"/>
    <w:tmpl w:val="1472A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135446">
    <w:abstractNumId w:val="2"/>
  </w:num>
  <w:num w:numId="2" w16cid:durableId="100340835">
    <w:abstractNumId w:val="3"/>
  </w:num>
  <w:num w:numId="3" w16cid:durableId="297147369">
    <w:abstractNumId w:val="0"/>
  </w:num>
  <w:num w:numId="4" w16cid:durableId="1435637646">
    <w:abstractNumId w:val="4"/>
  </w:num>
  <w:num w:numId="5" w16cid:durableId="1985427000">
    <w:abstractNumId w:val="5"/>
  </w:num>
  <w:num w:numId="6" w16cid:durableId="1859003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BAB"/>
    <w:rsid w:val="00000CB3"/>
    <w:rsid w:val="0003126E"/>
    <w:rsid w:val="000574B2"/>
    <w:rsid w:val="000605B3"/>
    <w:rsid w:val="00062901"/>
    <w:rsid w:val="000979A2"/>
    <w:rsid w:val="000C0776"/>
    <w:rsid w:val="000D2A30"/>
    <w:rsid w:val="000E2B33"/>
    <w:rsid w:val="00101938"/>
    <w:rsid w:val="0010320F"/>
    <w:rsid w:val="00150496"/>
    <w:rsid w:val="001736DB"/>
    <w:rsid w:val="0019139F"/>
    <w:rsid w:val="001C36EE"/>
    <w:rsid w:val="001E22E9"/>
    <w:rsid w:val="001F67DF"/>
    <w:rsid w:val="002541E2"/>
    <w:rsid w:val="002B6471"/>
    <w:rsid w:val="002D2277"/>
    <w:rsid w:val="003051F2"/>
    <w:rsid w:val="00336D8D"/>
    <w:rsid w:val="00365D21"/>
    <w:rsid w:val="00371352"/>
    <w:rsid w:val="0037426C"/>
    <w:rsid w:val="00381CA4"/>
    <w:rsid w:val="003866BD"/>
    <w:rsid w:val="003B0F5D"/>
    <w:rsid w:val="003C3BAB"/>
    <w:rsid w:val="003D1EEF"/>
    <w:rsid w:val="003F13DB"/>
    <w:rsid w:val="004150BD"/>
    <w:rsid w:val="004302BE"/>
    <w:rsid w:val="004327D0"/>
    <w:rsid w:val="004453BD"/>
    <w:rsid w:val="00487DF8"/>
    <w:rsid w:val="004A6429"/>
    <w:rsid w:val="004E230B"/>
    <w:rsid w:val="004E3F70"/>
    <w:rsid w:val="004F292F"/>
    <w:rsid w:val="00500076"/>
    <w:rsid w:val="00507FD3"/>
    <w:rsid w:val="00511328"/>
    <w:rsid w:val="00516393"/>
    <w:rsid w:val="0054773A"/>
    <w:rsid w:val="00562000"/>
    <w:rsid w:val="0056215A"/>
    <w:rsid w:val="00562339"/>
    <w:rsid w:val="005C41F0"/>
    <w:rsid w:val="005F27A4"/>
    <w:rsid w:val="005F61B5"/>
    <w:rsid w:val="006035C4"/>
    <w:rsid w:val="00611F79"/>
    <w:rsid w:val="00627B3D"/>
    <w:rsid w:val="00655E48"/>
    <w:rsid w:val="00690A7C"/>
    <w:rsid w:val="006D0F4C"/>
    <w:rsid w:val="00723BCF"/>
    <w:rsid w:val="007432B4"/>
    <w:rsid w:val="007727DB"/>
    <w:rsid w:val="007746C3"/>
    <w:rsid w:val="00782554"/>
    <w:rsid w:val="007C26E0"/>
    <w:rsid w:val="00886DDB"/>
    <w:rsid w:val="00890907"/>
    <w:rsid w:val="008D3477"/>
    <w:rsid w:val="009166D9"/>
    <w:rsid w:val="009212A6"/>
    <w:rsid w:val="00957E9B"/>
    <w:rsid w:val="009C151A"/>
    <w:rsid w:val="009E0B0F"/>
    <w:rsid w:val="00A34267"/>
    <w:rsid w:val="00A40B8A"/>
    <w:rsid w:val="00A452A8"/>
    <w:rsid w:val="00A77615"/>
    <w:rsid w:val="00A77BF5"/>
    <w:rsid w:val="00AB5B55"/>
    <w:rsid w:val="00B21D2F"/>
    <w:rsid w:val="00B24AFD"/>
    <w:rsid w:val="00B33E2D"/>
    <w:rsid w:val="00B449B8"/>
    <w:rsid w:val="00B60760"/>
    <w:rsid w:val="00B85009"/>
    <w:rsid w:val="00BA2B63"/>
    <w:rsid w:val="00BE37F0"/>
    <w:rsid w:val="00C94247"/>
    <w:rsid w:val="00CB747E"/>
    <w:rsid w:val="00CC16A6"/>
    <w:rsid w:val="00CD7160"/>
    <w:rsid w:val="00D12E6D"/>
    <w:rsid w:val="00D24AC2"/>
    <w:rsid w:val="00D732F9"/>
    <w:rsid w:val="00DA231D"/>
    <w:rsid w:val="00DB42A9"/>
    <w:rsid w:val="00DF16B0"/>
    <w:rsid w:val="00E07302"/>
    <w:rsid w:val="00E52894"/>
    <w:rsid w:val="00E906B3"/>
    <w:rsid w:val="00EA0484"/>
    <w:rsid w:val="00EA62EF"/>
    <w:rsid w:val="00ED3BAA"/>
    <w:rsid w:val="00EE00AC"/>
    <w:rsid w:val="00F3054B"/>
    <w:rsid w:val="00F36E39"/>
    <w:rsid w:val="00F55676"/>
    <w:rsid w:val="00F5574F"/>
    <w:rsid w:val="00F77AEF"/>
    <w:rsid w:val="00FB34B7"/>
    <w:rsid w:val="00FB359A"/>
    <w:rsid w:val="00FC00A9"/>
    <w:rsid w:val="00FE74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F71ED"/>
  <w15:chartTrackingRefBased/>
  <w15:docId w15:val="{21E41541-2743-4E34-9680-72BCFE1E0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6035C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6035C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3BA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3BAA"/>
    <w:pPr>
      <w:spacing w:after="0" w:line="240" w:lineRule="auto"/>
      <w:ind w:left="720"/>
      <w:contextualSpacing/>
    </w:pPr>
    <w:rPr>
      <w:rFonts w:ascii="Times New Roman" w:eastAsia="Times New Roman" w:hAnsi="Times New Roman" w:cs="Times New Roman"/>
      <w:sz w:val="24"/>
      <w:szCs w:val="24"/>
    </w:rPr>
  </w:style>
  <w:style w:type="character" w:styleId="Strong">
    <w:name w:val="Strong"/>
    <w:basedOn w:val="DefaultParagraphFont"/>
    <w:uiPriority w:val="22"/>
    <w:qFormat/>
    <w:rsid w:val="00A40B8A"/>
    <w:rPr>
      <w:b/>
      <w:bCs/>
    </w:rPr>
  </w:style>
  <w:style w:type="table" w:styleId="TableGrid">
    <w:name w:val="Table Grid"/>
    <w:basedOn w:val="TableNormal"/>
    <w:uiPriority w:val="39"/>
    <w:rsid w:val="00772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85009"/>
    <w:rPr>
      <w:i/>
      <w:iCs/>
    </w:rPr>
  </w:style>
  <w:style w:type="table" w:styleId="TableGridLight">
    <w:name w:val="Grid Table Light"/>
    <w:basedOn w:val="TableNormal"/>
    <w:uiPriority w:val="40"/>
    <w:rsid w:val="004150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7746C3"/>
    <w:rPr>
      <w:color w:val="0563C1" w:themeColor="hyperlink"/>
      <w:u w:val="single"/>
    </w:rPr>
  </w:style>
  <w:style w:type="paragraph" w:styleId="Header">
    <w:name w:val="header"/>
    <w:basedOn w:val="Normal"/>
    <w:link w:val="HeaderChar"/>
    <w:uiPriority w:val="99"/>
    <w:unhideWhenUsed/>
    <w:rsid w:val="007746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46C3"/>
  </w:style>
  <w:style w:type="paragraph" w:styleId="Footer">
    <w:name w:val="footer"/>
    <w:basedOn w:val="Normal"/>
    <w:link w:val="FooterChar"/>
    <w:uiPriority w:val="99"/>
    <w:unhideWhenUsed/>
    <w:rsid w:val="007746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46C3"/>
  </w:style>
  <w:style w:type="character" w:customStyle="1" w:styleId="Heading4Char">
    <w:name w:val="Heading 4 Char"/>
    <w:basedOn w:val="DefaultParagraphFont"/>
    <w:link w:val="Heading4"/>
    <w:uiPriority w:val="9"/>
    <w:rsid w:val="006035C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6035C4"/>
    <w:rPr>
      <w:rFonts w:asciiTheme="majorHAnsi" w:eastAsiaTheme="majorEastAsia" w:hAnsiTheme="majorHAnsi" w:cstheme="majorBidi"/>
      <w:color w:val="2F5496" w:themeColor="accent1" w:themeShade="BF"/>
    </w:rPr>
  </w:style>
  <w:style w:type="character" w:styleId="PageNumber">
    <w:name w:val="page number"/>
    <w:basedOn w:val="DefaultParagraphFont"/>
    <w:uiPriority w:val="99"/>
    <w:semiHidden/>
    <w:unhideWhenUsed/>
    <w:rsid w:val="00097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77509">
      <w:bodyDiv w:val="1"/>
      <w:marLeft w:val="0"/>
      <w:marRight w:val="0"/>
      <w:marTop w:val="0"/>
      <w:marBottom w:val="0"/>
      <w:divBdr>
        <w:top w:val="none" w:sz="0" w:space="0" w:color="auto"/>
        <w:left w:val="none" w:sz="0" w:space="0" w:color="auto"/>
        <w:bottom w:val="none" w:sz="0" w:space="0" w:color="auto"/>
        <w:right w:val="none" w:sz="0" w:space="0" w:color="auto"/>
      </w:divBdr>
    </w:div>
    <w:div w:id="256401497">
      <w:bodyDiv w:val="1"/>
      <w:marLeft w:val="0"/>
      <w:marRight w:val="0"/>
      <w:marTop w:val="0"/>
      <w:marBottom w:val="0"/>
      <w:divBdr>
        <w:top w:val="none" w:sz="0" w:space="0" w:color="auto"/>
        <w:left w:val="none" w:sz="0" w:space="0" w:color="auto"/>
        <w:bottom w:val="none" w:sz="0" w:space="0" w:color="auto"/>
        <w:right w:val="none" w:sz="0" w:space="0" w:color="auto"/>
      </w:divBdr>
    </w:div>
    <w:div w:id="359235370">
      <w:bodyDiv w:val="1"/>
      <w:marLeft w:val="0"/>
      <w:marRight w:val="0"/>
      <w:marTop w:val="0"/>
      <w:marBottom w:val="0"/>
      <w:divBdr>
        <w:top w:val="none" w:sz="0" w:space="0" w:color="auto"/>
        <w:left w:val="none" w:sz="0" w:space="0" w:color="auto"/>
        <w:bottom w:val="none" w:sz="0" w:space="0" w:color="auto"/>
        <w:right w:val="none" w:sz="0" w:space="0" w:color="auto"/>
      </w:divBdr>
    </w:div>
    <w:div w:id="445850695">
      <w:bodyDiv w:val="1"/>
      <w:marLeft w:val="0"/>
      <w:marRight w:val="0"/>
      <w:marTop w:val="0"/>
      <w:marBottom w:val="0"/>
      <w:divBdr>
        <w:top w:val="none" w:sz="0" w:space="0" w:color="auto"/>
        <w:left w:val="none" w:sz="0" w:space="0" w:color="auto"/>
        <w:bottom w:val="none" w:sz="0" w:space="0" w:color="auto"/>
        <w:right w:val="none" w:sz="0" w:space="0" w:color="auto"/>
      </w:divBdr>
    </w:div>
    <w:div w:id="514196451">
      <w:bodyDiv w:val="1"/>
      <w:marLeft w:val="0"/>
      <w:marRight w:val="0"/>
      <w:marTop w:val="0"/>
      <w:marBottom w:val="0"/>
      <w:divBdr>
        <w:top w:val="none" w:sz="0" w:space="0" w:color="auto"/>
        <w:left w:val="none" w:sz="0" w:space="0" w:color="auto"/>
        <w:bottom w:val="none" w:sz="0" w:space="0" w:color="auto"/>
        <w:right w:val="none" w:sz="0" w:space="0" w:color="auto"/>
      </w:divBdr>
    </w:div>
    <w:div w:id="853543793">
      <w:bodyDiv w:val="1"/>
      <w:marLeft w:val="0"/>
      <w:marRight w:val="0"/>
      <w:marTop w:val="0"/>
      <w:marBottom w:val="0"/>
      <w:divBdr>
        <w:top w:val="none" w:sz="0" w:space="0" w:color="auto"/>
        <w:left w:val="none" w:sz="0" w:space="0" w:color="auto"/>
        <w:bottom w:val="none" w:sz="0" w:space="0" w:color="auto"/>
        <w:right w:val="none" w:sz="0" w:space="0" w:color="auto"/>
      </w:divBdr>
    </w:div>
    <w:div w:id="1115443641">
      <w:bodyDiv w:val="1"/>
      <w:marLeft w:val="0"/>
      <w:marRight w:val="0"/>
      <w:marTop w:val="0"/>
      <w:marBottom w:val="0"/>
      <w:divBdr>
        <w:top w:val="none" w:sz="0" w:space="0" w:color="auto"/>
        <w:left w:val="none" w:sz="0" w:space="0" w:color="auto"/>
        <w:bottom w:val="none" w:sz="0" w:space="0" w:color="auto"/>
        <w:right w:val="none" w:sz="0" w:space="0" w:color="auto"/>
      </w:divBdr>
    </w:div>
    <w:div w:id="1188829655">
      <w:bodyDiv w:val="1"/>
      <w:marLeft w:val="0"/>
      <w:marRight w:val="0"/>
      <w:marTop w:val="0"/>
      <w:marBottom w:val="0"/>
      <w:divBdr>
        <w:top w:val="none" w:sz="0" w:space="0" w:color="auto"/>
        <w:left w:val="none" w:sz="0" w:space="0" w:color="auto"/>
        <w:bottom w:val="none" w:sz="0" w:space="0" w:color="auto"/>
        <w:right w:val="none" w:sz="0" w:space="0" w:color="auto"/>
      </w:divBdr>
    </w:div>
    <w:div w:id="1215849474">
      <w:bodyDiv w:val="1"/>
      <w:marLeft w:val="0"/>
      <w:marRight w:val="0"/>
      <w:marTop w:val="0"/>
      <w:marBottom w:val="0"/>
      <w:divBdr>
        <w:top w:val="none" w:sz="0" w:space="0" w:color="auto"/>
        <w:left w:val="none" w:sz="0" w:space="0" w:color="auto"/>
        <w:bottom w:val="none" w:sz="0" w:space="0" w:color="auto"/>
        <w:right w:val="none" w:sz="0" w:space="0" w:color="auto"/>
      </w:divBdr>
      <w:divsChild>
        <w:div w:id="1250848808">
          <w:marLeft w:val="360"/>
          <w:marRight w:val="0"/>
          <w:marTop w:val="200"/>
          <w:marBottom w:val="0"/>
          <w:divBdr>
            <w:top w:val="none" w:sz="0" w:space="0" w:color="auto"/>
            <w:left w:val="none" w:sz="0" w:space="0" w:color="auto"/>
            <w:bottom w:val="none" w:sz="0" w:space="0" w:color="auto"/>
            <w:right w:val="none" w:sz="0" w:space="0" w:color="auto"/>
          </w:divBdr>
        </w:div>
      </w:divsChild>
    </w:div>
    <w:div w:id="1337347351">
      <w:bodyDiv w:val="1"/>
      <w:marLeft w:val="0"/>
      <w:marRight w:val="0"/>
      <w:marTop w:val="0"/>
      <w:marBottom w:val="0"/>
      <w:divBdr>
        <w:top w:val="none" w:sz="0" w:space="0" w:color="auto"/>
        <w:left w:val="none" w:sz="0" w:space="0" w:color="auto"/>
        <w:bottom w:val="none" w:sz="0" w:space="0" w:color="auto"/>
        <w:right w:val="none" w:sz="0" w:space="0" w:color="auto"/>
      </w:divBdr>
    </w:div>
    <w:div w:id="1446149874">
      <w:bodyDiv w:val="1"/>
      <w:marLeft w:val="0"/>
      <w:marRight w:val="0"/>
      <w:marTop w:val="0"/>
      <w:marBottom w:val="0"/>
      <w:divBdr>
        <w:top w:val="none" w:sz="0" w:space="0" w:color="auto"/>
        <w:left w:val="none" w:sz="0" w:space="0" w:color="auto"/>
        <w:bottom w:val="none" w:sz="0" w:space="0" w:color="auto"/>
        <w:right w:val="none" w:sz="0" w:space="0" w:color="auto"/>
      </w:divBdr>
    </w:div>
    <w:div w:id="1483279924">
      <w:bodyDiv w:val="1"/>
      <w:marLeft w:val="0"/>
      <w:marRight w:val="0"/>
      <w:marTop w:val="0"/>
      <w:marBottom w:val="0"/>
      <w:divBdr>
        <w:top w:val="none" w:sz="0" w:space="0" w:color="auto"/>
        <w:left w:val="none" w:sz="0" w:space="0" w:color="auto"/>
        <w:bottom w:val="none" w:sz="0" w:space="0" w:color="auto"/>
        <w:right w:val="none" w:sz="0" w:space="0" w:color="auto"/>
      </w:divBdr>
    </w:div>
    <w:div w:id="1577008088">
      <w:bodyDiv w:val="1"/>
      <w:marLeft w:val="0"/>
      <w:marRight w:val="0"/>
      <w:marTop w:val="0"/>
      <w:marBottom w:val="0"/>
      <w:divBdr>
        <w:top w:val="none" w:sz="0" w:space="0" w:color="auto"/>
        <w:left w:val="none" w:sz="0" w:space="0" w:color="auto"/>
        <w:bottom w:val="none" w:sz="0" w:space="0" w:color="auto"/>
        <w:right w:val="none" w:sz="0" w:space="0" w:color="auto"/>
      </w:divBdr>
    </w:div>
    <w:div w:id="1809011556">
      <w:bodyDiv w:val="1"/>
      <w:marLeft w:val="0"/>
      <w:marRight w:val="0"/>
      <w:marTop w:val="0"/>
      <w:marBottom w:val="0"/>
      <w:divBdr>
        <w:top w:val="none" w:sz="0" w:space="0" w:color="auto"/>
        <w:left w:val="none" w:sz="0" w:space="0" w:color="auto"/>
        <w:bottom w:val="none" w:sz="0" w:space="0" w:color="auto"/>
        <w:right w:val="none" w:sz="0" w:space="0" w:color="auto"/>
      </w:divBdr>
    </w:div>
    <w:div w:id="204374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pjkd.com.p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3299</Words>
  <Characters>19729</Characters>
  <Application>Microsoft Office Word</Application>
  <DocSecurity>0</DocSecurity>
  <Lines>548</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Tasnim Mahmud</dc:creator>
  <cp:keywords/>
  <dc:description/>
  <cp:lastModifiedBy>Nauman Tarif</cp:lastModifiedBy>
  <cp:revision>4</cp:revision>
  <dcterms:created xsi:type="dcterms:W3CDTF">2026-03-31T08:46:00Z</dcterms:created>
  <dcterms:modified xsi:type="dcterms:W3CDTF">2026-04-02T03:40:00Z</dcterms:modified>
</cp:coreProperties>
</file>